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507" w:rsidRDefault="00083507" w:rsidP="00660441">
      <w:pPr>
        <w:jc w:val="center"/>
        <w:rPr>
          <w:rFonts w:ascii="Garamond" w:hAnsi="Garamond"/>
          <w:b/>
          <w:sz w:val="26"/>
          <w:szCs w:val="26"/>
          <w:u w:val="single"/>
        </w:rPr>
      </w:pPr>
      <w:r>
        <w:rPr>
          <w:rFonts w:ascii="Garamond" w:hAnsi="Garamond"/>
          <w:b/>
          <w:noProof/>
          <w:sz w:val="26"/>
          <w:szCs w:val="26"/>
        </w:rPr>
        <w:drawing>
          <wp:anchor distT="0" distB="0" distL="114300" distR="114300" simplePos="0" relativeHeight="251667456" behindDoc="1" locked="0" layoutInCell="1" allowOverlap="1" wp14:anchorId="7B35DE63">
            <wp:simplePos x="0" y="0"/>
            <wp:positionH relativeFrom="margin">
              <wp:align>center</wp:align>
            </wp:positionH>
            <wp:positionV relativeFrom="paragraph">
              <wp:posOffset>-271780</wp:posOffset>
            </wp:positionV>
            <wp:extent cx="1114425" cy="10696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 hawk log.png"/>
                    <pic:cNvPicPr/>
                  </pic:nvPicPr>
                  <pic:blipFill>
                    <a:blip r:embed="rId7">
                      <a:extLst>
                        <a:ext uri="{28A0092B-C50C-407E-A947-70E740481C1C}">
                          <a14:useLocalDpi xmlns:a14="http://schemas.microsoft.com/office/drawing/2010/main" val="0"/>
                        </a:ext>
                      </a:extLst>
                    </a:blip>
                    <a:stretch>
                      <a:fillRect/>
                    </a:stretch>
                  </pic:blipFill>
                  <pic:spPr>
                    <a:xfrm>
                      <a:off x="0" y="0"/>
                      <a:ext cx="1114425" cy="1069658"/>
                    </a:xfrm>
                    <a:prstGeom prst="rect">
                      <a:avLst/>
                    </a:prstGeom>
                  </pic:spPr>
                </pic:pic>
              </a:graphicData>
            </a:graphic>
            <wp14:sizeRelH relativeFrom="page">
              <wp14:pctWidth>0</wp14:pctWidth>
            </wp14:sizeRelH>
            <wp14:sizeRelV relativeFrom="page">
              <wp14:pctHeight>0</wp14:pctHeight>
            </wp14:sizeRelV>
          </wp:anchor>
        </w:drawing>
      </w:r>
    </w:p>
    <w:p w:rsidR="00083507" w:rsidRDefault="00083507" w:rsidP="00660441">
      <w:pPr>
        <w:jc w:val="center"/>
        <w:rPr>
          <w:rFonts w:ascii="Garamond" w:hAnsi="Garamond"/>
          <w:b/>
          <w:sz w:val="26"/>
          <w:szCs w:val="26"/>
          <w:u w:val="single"/>
        </w:rPr>
      </w:pPr>
    </w:p>
    <w:p w:rsidR="00083507" w:rsidRDefault="00083507" w:rsidP="00660441">
      <w:pPr>
        <w:jc w:val="center"/>
        <w:rPr>
          <w:rFonts w:ascii="Garamond" w:hAnsi="Garamond"/>
          <w:b/>
          <w:sz w:val="26"/>
          <w:szCs w:val="26"/>
          <w:u w:val="single"/>
        </w:rPr>
      </w:pPr>
      <w:bookmarkStart w:id="0" w:name="_GoBack"/>
      <w:bookmarkEnd w:id="0"/>
    </w:p>
    <w:p w:rsidR="00660441" w:rsidRPr="00083507" w:rsidRDefault="00660441" w:rsidP="00660441">
      <w:pPr>
        <w:jc w:val="center"/>
        <w:rPr>
          <w:rFonts w:ascii="Garamond" w:hAnsi="Garamond"/>
          <w:b/>
          <w:sz w:val="26"/>
          <w:szCs w:val="26"/>
          <w:u w:val="single"/>
        </w:rPr>
      </w:pPr>
      <w:r w:rsidRPr="00083507">
        <w:rPr>
          <w:rFonts w:ascii="Garamond" w:hAnsi="Garamond"/>
          <w:b/>
          <w:sz w:val="26"/>
          <w:szCs w:val="26"/>
          <w:u w:val="single"/>
        </w:rPr>
        <w:t>Navigating Open Forums</w:t>
      </w:r>
    </w:p>
    <w:p w:rsidR="00341A7A" w:rsidRPr="00083507" w:rsidRDefault="00341A7A" w:rsidP="00832C0F">
      <w:pPr>
        <w:pStyle w:val="ListParagraph"/>
        <w:numPr>
          <w:ilvl w:val="0"/>
          <w:numId w:val="6"/>
        </w:numPr>
        <w:rPr>
          <w:rFonts w:ascii="Garamond" w:hAnsi="Garamond"/>
          <w:b/>
          <w:sz w:val="26"/>
          <w:szCs w:val="26"/>
        </w:rPr>
      </w:pPr>
      <w:r w:rsidRPr="00083507">
        <w:rPr>
          <w:rFonts w:ascii="Garamond" w:hAnsi="Garamond"/>
          <w:b/>
          <w:sz w:val="26"/>
          <w:szCs w:val="26"/>
        </w:rPr>
        <w:t>When you have a good answer/response:</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 xml:space="preserve">Respond </w:t>
      </w:r>
      <w:r w:rsidR="00832C0F" w:rsidRPr="00083507">
        <w:rPr>
          <w:rFonts w:ascii="Garamond" w:hAnsi="Garamond"/>
          <w:sz w:val="26"/>
          <w:szCs w:val="26"/>
        </w:rPr>
        <w:t>in a reasonable amount of time</w:t>
      </w:r>
      <w:r w:rsidR="00576E9C" w:rsidRPr="00083507">
        <w:rPr>
          <w:rFonts w:ascii="Garamond" w:hAnsi="Garamond"/>
          <w:sz w:val="26"/>
          <w:szCs w:val="26"/>
        </w:rPr>
        <w:t>.</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Introduce yourself (name and title)</w:t>
      </w:r>
      <w:r w:rsidR="00576E9C" w:rsidRPr="00083507">
        <w:rPr>
          <w:rFonts w:ascii="Garamond" w:hAnsi="Garamond"/>
          <w:sz w:val="26"/>
          <w:szCs w:val="26"/>
        </w:rPr>
        <w:t>.</w:t>
      </w:r>
    </w:p>
    <w:p w:rsidR="00847636" w:rsidRPr="00083507" w:rsidRDefault="00847636" w:rsidP="00341A7A">
      <w:pPr>
        <w:pStyle w:val="ListParagraph"/>
        <w:numPr>
          <w:ilvl w:val="1"/>
          <w:numId w:val="6"/>
        </w:numPr>
        <w:rPr>
          <w:rFonts w:ascii="Garamond" w:hAnsi="Garamond"/>
          <w:sz w:val="26"/>
          <w:szCs w:val="26"/>
        </w:rPr>
      </w:pPr>
      <w:r w:rsidRPr="00083507">
        <w:rPr>
          <w:rFonts w:ascii="Garamond" w:hAnsi="Garamond"/>
          <w:sz w:val="26"/>
          <w:szCs w:val="26"/>
        </w:rPr>
        <w:t>Give a</w:t>
      </w:r>
      <w:r w:rsidR="00576E9C" w:rsidRPr="00083507">
        <w:rPr>
          <w:rFonts w:ascii="Garamond" w:hAnsi="Garamond"/>
          <w:sz w:val="26"/>
          <w:szCs w:val="26"/>
        </w:rPr>
        <w:t xml:space="preserve"> detailed</w:t>
      </w:r>
      <w:r w:rsidRPr="00083507">
        <w:rPr>
          <w:rFonts w:ascii="Garamond" w:hAnsi="Garamond"/>
          <w:sz w:val="26"/>
          <w:szCs w:val="26"/>
        </w:rPr>
        <w:t xml:space="preserve"> response and explain acronyms (e.g., CTC, ADHE, WIOA, etc.).</w:t>
      </w:r>
    </w:p>
    <w:p w:rsidR="00341A7A" w:rsidRPr="00083507" w:rsidRDefault="00341A7A" w:rsidP="00341A7A">
      <w:pPr>
        <w:pStyle w:val="ListParagraph"/>
        <w:numPr>
          <w:ilvl w:val="0"/>
          <w:numId w:val="6"/>
        </w:numPr>
        <w:rPr>
          <w:rFonts w:ascii="Garamond" w:hAnsi="Garamond"/>
          <w:b/>
          <w:sz w:val="26"/>
          <w:szCs w:val="26"/>
        </w:rPr>
      </w:pPr>
      <w:r w:rsidRPr="00083507">
        <w:rPr>
          <w:rFonts w:ascii="Garamond" w:hAnsi="Garamond"/>
          <w:b/>
          <w:sz w:val="26"/>
          <w:szCs w:val="26"/>
        </w:rPr>
        <w:t>When there is uncomfortable silence:</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Ask for the question to be repeated</w:t>
      </w:r>
      <w:r w:rsidR="00576E9C" w:rsidRPr="00083507">
        <w:rPr>
          <w:rFonts w:ascii="Garamond" w:hAnsi="Garamond"/>
          <w:sz w:val="26"/>
          <w:szCs w:val="26"/>
        </w:rPr>
        <w:t>.</w:t>
      </w:r>
    </w:p>
    <w:p w:rsidR="00832C0F" w:rsidRPr="00083507" w:rsidRDefault="00832C0F" w:rsidP="00832C0F">
      <w:pPr>
        <w:pStyle w:val="ListParagraph"/>
        <w:numPr>
          <w:ilvl w:val="2"/>
          <w:numId w:val="6"/>
        </w:numPr>
        <w:rPr>
          <w:rFonts w:ascii="Garamond" w:hAnsi="Garamond"/>
          <w:sz w:val="26"/>
          <w:szCs w:val="26"/>
        </w:rPr>
      </w:pPr>
      <w:r w:rsidRPr="00083507">
        <w:rPr>
          <w:rFonts w:ascii="Garamond" w:hAnsi="Garamond"/>
          <w:sz w:val="26"/>
          <w:szCs w:val="26"/>
        </w:rPr>
        <w:t>“Can you please repeat the question?”</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Ask for an explanation of unfamiliar words</w:t>
      </w:r>
      <w:r w:rsidR="00576E9C" w:rsidRPr="00083507">
        <w:rPr>
          <w:rFonts w:ascii="Garamond" w:hAnsi="Garamond"/>
          <w:sz w:val="26"/>
          <w:szCs w:val="26"/>
        </w:rPr>
        <w:t>.</w:t>
      </w:r>
    </w:p>
    <w:p w:rsidR="00832C0F" w:rsidRPr="00083507" w:rsidRDefault="00832C0F" w:rsidP="00832C0F">
      <w:pPr>
        <w:pStyle w:val="ListParagraph"/>
        <w:numPr>
          <w:ilvl w:val="2"/>
          <w:numId w:val="6"/>
        </w:numPr>
        <w:rPr>
          <w:rFonts w:ascii="Garamond" w:hAnsi="Garamond"/>
          <w:sz w:val="26"/>
          <w:szCs w:val="26"/>
        </w:rPr>
      </w:pPr>
      <w:r w:rsidRPr="00083507">
        <w:rPr>
          <w:rFonts w:ascii="Garamond" w:hAnsi="Garamond"/>
          <w:sz w:val="26"/>
          <w:szCs w:val="26"/>
        </w:rPr>
        <w:t>“I’m not sure I understand what you mean by ___. Can you please clarify?”</w:t>
      </w:r>
    </w:p>
    <w:p w:rsidR="00832C0F" w:rsidRPr="00083507" w:rsidRDefault="00832C0F" w:rsidP="00832C0F">
      <w:pPr>
        <w:pStyle w:val="ListParagraph"/>
        <w:numPr>
          <w:ilvl w:val="2"/>
          <w:numId w:val="6"/>
        </w:numPr>
        <w:rPr>
          <w:rFonts w:ascii="Garamond" w:hAnsi="Garamond"/>
          <w:sz w:val="26"/>
          <w:szCs w:val="26"/>
        </w:rPr>
      </w:pPr>
      <w:r w:rsidRPr="00083507">
        <w:rPr>
          <w:rFonts w:ascii="Garamond" w:hAnsi="Garamond"/>
          <w:sz w:val="26"/>
          <w:szCs w:val="26"/>
        </w:rPr>
        <w:t>“Before I respond, I want to make sure we are on the same page. We define ___ as ___ at BRTC, and here’s what that looks like for us</w:t>
      </w:r>
      <w:r w:rsidR="00576E9C" w:rsidRPr="00083507">
        <w:rPr>
          <w:rFonts w:ascii="Garamond" w:hAnsi="Garamond"/>
          <w:sz w:val="26"/>
          <w:szCs w:val="26"/>
        </w:rPr>
        <w:t>. . .</w:t>
      </w:r>
      <w:r w:rsidRPr="00083507">
        <w:rPr>
          <w:rFonts w:ascii="Garamond" w:hAnsi="Garamond"/>
          <w:sz w:val="26"/>
          <w:szCs w:val="26"/>
        </w:rPr>
        <w:t>”</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Punt to someone you are certain has a good response</w:t>
      </w:r>
      <w:r w:rsidR="00576E9C" w:rsidRPr="00083507">
        <w:rPr>
          <w:rFonts w:ascii="Garamond" w:hAnsi="Garamond"/>
          <w:sz w:val="26"/>
          <w:szCs w:val="26"/>
        </w:rPr>
        <w:t>.</w:t>
      </w:r>
    </w:p>
    <w:p w:rsidR="00832C0F" w:rsidRPr="00083507" w:rsidRDefault="00832C0F" w:rsidP="00832C0F">
      <w:pPr>
        <w:pStyle w:val="ListParagraph"/>
        <w:numPr>
          <w:ilvl w:val="2"/>
          <w:numId w:val="6"/>
        </w:numPr>
        <w:rPr>
          <w:rFonts w:ascii="Garamond" w:hAnsi="Garamond"/>
          <w:sz w:val="26"/>
          <w:szCs w:val="26"/>
        </w:rPr>
      </w:pPr>
      <w:r w:rsidRPr="00083507">
        <w:rPr>
          <w:rFonts w:ascii="Garamond" w:hAnsi="Garamond"/>
          <w:sz w:val="26"/>
          <w:szCs w:val="26"/>
        </w:rPr>
        <w:t>“I don’t have much experience with that, but I think ___ does. . .”</w:t>
      </w:r>
    </w:p>
    <w:p w:rsidR="00341A7A" w:rsidRPr="00083507" w:rsidRDefault="00341A7A" w:rsidP="00341A7A">
      <w:pPr>
        <w:pStyle w:val="ListParagraph"/>
        <w:numPr>
          <w:ilvl w:val="0"/>
          <w:numId w:val="6"/>
        </w:numPr>
        <w:rPr>
          <w:rFonts w:ascii="Garamond" w:hAnsi="Garamond"/>
          <w:b/>
          <w:sz w:val="26"/>
          <w:szCs w:val="26"/>
        </w:rPr>
      </w:pPr>
      <w:r w:rsidRPr="00083507">
        <w:rPr>
          <w:rFonts w:ascii="Garamond" w:hAnsi="Garamond"/>
          <w:b/>
          <w:sz w:val="26"/>
          <w:szCs w:val="26"/>
        </w:rPr>
        <w:t xml:space="preserve">When you know someone else has a good </w:t>
      </w:r>
      <w:r w:rsidR="00832C0F" w:rsidRPr="00083507">
        <w:rPr>
          <w:rFonts w:ascii="Garamond" w:hAnsi="Garamond"/>
          <w:b/>
          <w:sz w:val="26"/>
          <w:szCs w:val="26"/>
        </w:rPr>
        <w:t xml:space="preserve">response: </w:t>
      </w:r>
    </w:p>
    <w:p w:rsidR="00832C0F" w:rsidRPr="00083507" w:rsidRDefault="00832C0F" w:rsidP="00832C0F">
      <w:pPr>
        <w:pStyle w:val="ListParagraph"/>
        <w:numPr>
          <w:ilvl w:val="1"/>
          <w:numId w:val="6"/>
        </w:numPr>
        <w:rPr>
          <w:rFonts w:ascii="Garamond" w:hAnsi="Garamond"/>
          <w:sz w:val="26"/>
          <w:szCs w:val="26"/>
        </w:rPr>
      </w:pPr>
      <w:r w:rsidRPr="00083507">
        <w:rPr>
          <w:rFonts w:ascii="Garamond" w:hAnsi="Garamond"/>
          <w:sz w:val="26"/>
          <w:szCs w:val="26"/>
        </w:rPr>
        <w:t xml:space="preserve">Punt to that person (or department) </w:t>
      </w:r>
    </w:p>
    <w:p w:rsidR="00832C0F" w:rsidRPr="00083507" w:rsidRDefault="00832C0F" w:rsidP="00832C0F">
      <w:pPr>
        <w:pStyle w:val="ListParagraph"/>
        <w:numPr>
          <w:ilvl w:val="2"/>
          <w:numId w:val="6"/>
        </w:numPr>
        <w:rPr>
          <w:rFonts w:ascii="Garamond" w:hAnsi="Garamond"/>
          <w:sz w:val="26"/>
          <w:szCs w:val="26"/>
        </w:rPr>
      </w:pPr>
      <w:r w:rsidRPr="00083507">
        <w:rPr>
          <w:rFonts w:ascii="Garamond" w:hAnsi="Garamond"/>
          <w:sz w:val="26"/>
          <w:szCs w:val="26"/>
        </w:rPr>
        <w:t xml:space="preserve">“I believe that process is overseen by our ___ department. Is there someone </w:t>
      </w:r>
      <w:r w:rsidR="00660441" w:rsidRPr="00083507">
        <w:rPr>
          <w:rFonts w:ascii="Garamond" w:hAnsi="Garamond"/>
          <w:sz w:val="26"/>
          <w:szCs w:val="26"/>
        </w:rPr>
        <w:t xml:space="preserve">here from </w:t>
      </w:r>
      <w:r w:rsidRPr="00083507">
        <w:rPr>
          <w:rFonts w:ascii="Garamond" w:hAnsi="Garamond"/>
          <w:sz w:val="26"/>
          <w:szCs w:val="26"/>
        </w:rPr>
        <w:t xml:space="preserve">that department </w:t>
      </w:r>
      <w:r w:rsidR="00660441" w:rsidRPr="00083507">
        <w:rPr>
          <w:rFonts w:ascii="Garamond" w:hAnsi="Garamond"/>
          <w:sz w:val="26"/>
          <w:szCs w:val="26"/>
        </w:rPr>
        <w:t>who</w:t>
      </w:r>
      <w:r w:rsidRPr="00083507">
        <w:rPr>
          <w:rFonts w:ascii="Garamond" w:hAnsi="Garamond"/>
          <w:sz w:val="26"/>
          <w:szCs w:val="26"/>
        </w:rPr>
        <w:t xml:space="preserve"> can speak to it?”</w:t>
      </w:r>
    </w:p>
    <w:p w:rsidR="00341A7A" w:rsidRPr="00083507" w:rsidRDefault="00341A7A" w:rsidP="00341A7A">
      <w:pPr>
        <w:pStyle w:val="ListParagraph"/>
        <w:numPr>
          <w:ilvl w:val="0"/>
          <w:numId w:val="6"/>
        </w:numPr>
        <w:rPr>
          <w:rFonts w:ascii="Garamond" w:hAnsi="Garamond"/>
          <w:b/>
          <w:sz w:val="26"/>
          <w:szCs w:val="26"/>
        </w:rPr>
      </w:pPr>
      <w:r w:rsidRPr="00083507">
        <w:rPr>
          <w:rFonts w:ascii="Garamond" w:hAnsi="Garamond"/>
          <w:b/>
          <w:sz w:val="26"/>
          <w:szCs w:val="26"/>
        </w:rPr>
        <w:t>When someone has given a not-so-good answer:</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 xml:space="preserve">“I think </w:t>
      </w:r>
      <w:r w:rsidR="00576E9C" w:rsidRPr="00083507">
        <w:rPr>
          <w:rFonts w:ascii="Garamond" w:hAnsi="Garamond"/>
          <w:sz w:val="26"/>
          <w:szCs w:val="26"/>
        </w:rPr>
        <w:t>they</w:t>
      </w:r>
      <w:r w:rsidRPr="00083507">
        <w:rPr>
          <w:rFonts w:ascii="Garamond" w:hAnsi="Garamond"/>
          <w:sz w:val="26"/>
          <w:szCs w:val="26"/>
        </w:rPr>
        <w:t xml:space="preserve"> may have misunderstood your question. You’re asking about __, right?”</w:t>
      </w:r>
    </w:p>
    <w:p w:rsidR="00341A7A" w:rsidRPr="00083507" w:rsidRDefault="00341A7A" w:rsidP="00341A7A">
      <w:pPr>
        <w:pStyle w:val="ListParagraph"/>
        <w:numPr>
          <w:ilvl w:val="1"/>
          <w:numId w:val="6"/>
        </w:numPr>
        <w:rPr>
          <w:rFonts w:ascii="Garamond" w:hAnsi="Garamond"/>
          <w:sz w:val="26"/>
          <w:szCs w:val="26"/>
        </w:rPr>
      </w:pPr>
      <w:r w:rsidRPr="00083507">
        <w:rPr>
          <w:rFonts w:ascii="Garamond" w:hAnsi="Garamond"/>
          <w:sz w:val="26"/>
          <w:szCs w:val="26"/>
        </w:rPr>
        <w:t>“My experience is actually somewhat different. . .”</w:t>
      </w:r>
    </w:p>
    <w:p w:rsidR="00341A7A" w:rsidRPr="00083507" w:rsidRDefault="00341A7A" w:rsidP="00832C0F">
      <w:pPr>
        <w:rPr>
          <w:rFonts w:ascii="Garamond" w:hAnsi="Garamond"/>
          <w:sz w:val="26"/>
          <w:szCs w:val="26"/>
        </w:rPr>
      </w:pPr>
    </w:p>
    <w:p w:rsidR="00832C0F" w:rsidRPr="00083507" w:rsidRDefault="00832C0F" w:rsidP="00832C0F">
      <w:pPr>
        <w:rPr>
          <w:rFonts w:ascii="Garamond" w:hAnsi="Garamond"/>
          <w:b/>
          <w:sz w:val="26"/>
          <w:szCs w:val="26"/>
        </w:rPr>
      </w:pPr>
      <w:r w:rsidRPr="00083507">
        <w:rPr>
          <w:rFonts w:ascii="Garamond" w:hAnsi="Garamond"/>
          <w:b/>
          <w:sz w:val="26"/>
          <w:szCs w:val="26"/>
        </w:rPr>
        <w:t>Other tips:</w:t>
      </w:r>
    </w:p>
    <w:p w:rsidR="00832C0F" w:rsidRPr="00083507" w:rsidRDefault="00832C0F" w:rsidP="00832C0F">
      <w:pPr>
        <w:pStyle w:val="ListParagraph"/>
        <w:numPr>
          <w:ilvl w:val="0"/>
          <w:numId w:val="7"/>
        </w:numPr>
        <w:rPr>
          <w:rFonts w:ascii="Garamond" w:hAnsi="Garamond"/>
          <w:sz w:val="26"/>
          <w:szCs w:val="26"/>
        </w:rPr>
      </w:pPr>
      <w:r w:rsidRPr="00083507">
        <w:rPr>
          <w:rFonts w:ascii="Garamond" w:hAnsi="Garamond"/>
          <w:sz w:val="26"/>
          <w:szCs w:val="26"/>
        </w:rPr>
        <w:t>Write down the questions. This helps keep you on topic.</w:t>
      </w:r>
    </w:p>
    <w:p w:rsidR="00660441" w:rsidRPr="00083507" w:rsidRDefault="00832C0F" w:rsidP="00660441">
      <w:pPr>
        <w:pStyle w:val="ListParagraph"/>
        <w:numPr>
          <w:ilvl w:val="0"/>
          <w:numId w:val="7"/>
        </w:numPr>
        <w:rPr>
          <w:rFonts w:ascii="Garamond" w:hAnsi="Garamond"/>
          <w:sz w:val="26"/>
          <w:szCs w:val="26"/>
        </w:rPr>
      </w:pPr>
      <w:r w:rsidRPr="00083507">
        <w:rPr>
          <w:rFonts w:ascii="Garamond" w:hAnsi="Garamond"/>
          <w:sz w:val="26"/>
          <w:szCs w:val="26"/>
        </w:rPr>
        <w:t>Start with the big picture</w:t>
      </w:r>
      <w:r w:rsidR="00847636" w:rsidRPr="00083507">
        <w:rPr>
          <w:rFonts w:ascii="Garamond" w:hAnsi="Garamond"/>
          <w:sz w:val="26"/>
          <w:szCs w:val="26"/>
        </w:rPr>
        <w:t xml:space="preserve"> and funnel down to specific examples</w:t>
      </w:r>
      <w:r w:rsidR="00660441" w:rsidRPr="00083507">
        <w:rPr>
          <w:rFonts w:ascii="Garamond" w:hAnsi="Garamond"/>
          <w:sz w:val="26"/>
          <w:szCs w:val="26"/>
        </w:rPr>
        <w:t xml:space="preserve"> (see next page).</w:t>
      </w:r>
    </w:p>
    <w:p w:rsidR="00660441" w:rsidRPr="00083507" w:rsidRDefault="00660441" w:rsidP="00660441">
      <w:pPr>
        <w:pStyle w:val="ListParagraph"/>
        <w:numPr>
          <w:ilvl w:val="0"/>
          <w:numId w:val="7"/>
        </w:numPr>
        <w:rPr>
          <w:rFonts w:ascii="Garamond" w:hAnsi="Garamond"/>
          <w:sz w:val="26"/>
          <w:szCs w:val="26"/>
        </w:rPr>
      </w:pPr>
      <w:r w:rsidRPr="00083507">
        <w:rPr>
          <w:rFonts w:ascii="Garamond" w:hAnsi="Garamond"/>
          <w:sz w:val="26"/>
          <w:szCs w:val="26"/>
        </w:rPr>
        <w:t>You can refer to your notes.</w:t>
      </w:r>
    </w:p>
    <w:p w:rsidR="00AA6B4B" w:rsidRPr="00083507" w:rsidRDefault="00AA6B4B" w:rsidP="00660441">
      <w:pPr>
        <w:pStyle w:val="ListParagraph"/>
        <w:numPr>
          <w:ilvl w:val="0"/>
          <w:numId w:val="7"/>
        </w:numPr>
        <w:rPr>
          <w:rFonts w:ascii="Garamond" w:hAnsi="Garamond"/>
          <w:sz w:val="26"/>
          <w:szCs w:val="26"/>
        </w:rPr>
      </w:pPr>
      <w:r w:rsidRPr="00083507">
        <w:rPr>
          <w:rFonts w:ascii="Garamond" w:hAnsi="Garamond"/>
          <w:sz w:val="26"/>
          <w:szCs w:val="26"/>
        </w:rPr>
        <w:t>If someone else has answered and you agree, you can reiterate their response. (For example: “Yes, I agree with Joe. We do that in my office, too. . .”)</w:t>
      </w:r>
    </w:p>
    <w:p w:rsidR="00660441" w:rsidRPr="00083507" w:rsidRDefault="001B5704" w:rsidP="00660441">
      <w:pPr>
        <w:pStyle w:val="ListParagraph"/>
        <w:numPr>
          <w:ilvl w:val="0"/>
          <w:numId w:val="7"/>
        </w:numPr>
        <w:rPr>
          <w:rFonts w:ascii="Garamond" w:hAnsi="Garamond"/>
          <w:sz w:val="26"/>
          <w:szCs w:val="26"/>
        </w:rPr>
      </w:pPr>
      <w:r w:rsidRPr="00083507">
        <w:rPr>
          <w:rFonts w:ascii="Garamond" w:hAnsi="Garamond"/>
          <w:sz w:val="26"/>
          <w:szCs w:val="26"/>
        </w:rPr>
        <w:t>Confirm you answered the question.</w:t>
      </w:r>
    </w:p>
    <w:p w:rsidR="005F7204" w:rsidRPr="00660441" w:rsidRDefault="005F7204" w:rsidP="005F7204">
      <w:pPr>
        <w:pStyle w:val="ListParagraph"/>
        <w:rPr>
          <w:rFonts w:ascii="Garamond" w:hAnsi="Garamond"/>
          <w:sz w:val="24"/>
          <w:szCs w:val="24"/>
        </w:rPr>
      </w:pPr>
    </w:p>
    <w:p w:rsidR="00847636" w:rsidRPr="00847636" w:rsidRDefault="001C287C" w:rsidP="00847636">
      <w:pPr>
        <w:rPr>
          <w:rFonts w:ascii="Garamond" w:hAnsi="Garamond"/>
        </w:rPr>
      </w:pPr>
      <w:r>
        <w:rPr>
          <w:rFonts w:ascii="Garamond" w:hAnsi="Garamond"/>
          <w:noProof/>
        </w:rPr>
        <w:lastRenderedPageBreak/>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2103883</wp:posOffset>
                </wp:positionV>
                <wp:extent cx="1266825" cy="1609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66825" cy="1609725"/>
                        </a:xfrm>
                        <a:prstGeom prst="rect">
                          <a:avLst/>
                        </a:prstGeom>
                        <a:solidFill>
                          <a:schemeClr val="lt1"/>
                        </a:solidFill>
                        <a:ln w="6350">
                          <a:solidFill>
                            <a:prstClr val="black"/>
                          </a:solidFill>
                        </a:ln>
                      </wps:spPr>
                      <wps:txbx>
                        <w:txbxContent>
                          <w:p w:rsidR="00660441" w:rsidRPr="00576E9C" w:rsidRDefault="00660441">
                            <w:pPr>
                              <w:rPr>
                                <w:b/>
                              </w:rPr>
                            </w:pPr>
                            <w:r w:rsidRPr="00576E9C">
                              <w:rPr>
                                <w:b/>
                              </w:rPr>
                              <w:t>Examples:</w:t>
                            </w:r>
                          </w:p>
                          <w:p w:rsidR="00660441" w:rsidRDefault="00576E9C">
                            <w:r>
                              <w:t xml:space="preserve">Assessment </w:t>
                            </w:r>
                            <w:r w:rsidR="00660441">
                              <w:t>Templates</w:t>
                            </w:r>
                          </w:p>
                          <w:p w:rsidR="00660441" w:rsidRDefault="00660441">
                            <w:r>
                              <w:t>Annual Plans</w:t>
                            </w:r>
                          </w:p>
                          <w:p w:rsidR="00576E9C" w:rsidRDefault="00576E9C">
                            <w:r>
                              <w:t>Operational Plans</w:t>
                            </w:r>
                          </w:p>
                          <w:p w:rsidR="00660441" w:rsidRDefault="00660441">
                            <w:r>
                              <w:t>Annual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65.65pt;width:99.75pt;height:1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" fillcolor="white [3201]" strokeweight=".5pt">
                <v:textbox>
                  <w:txbxContent>
                    <w:p w:rsidR="00660441" w:rsidRPr="00576E9C" w:rsidRDefault="00660441">
                      <w:pPr>
                        <w:rPr>
                          <w:b/>
                        </w:rPr>
                      </w:pPr>
                      <w:r w:rsidRPr="00576E9C">
                        <w:rPr>
                          <w:b/>
                        </w:rPr>
                        <w:t>Examples:</w:t>
                      </w:r>
                    </w:p>
                    <w:p w:rsidR="00660441" w:rsidRDefault="00576E9C">
                      <w:r>
                        <w:t xml:space="preserve">Assessment </w:t>
                      </w:r>
                      <w:r w:rsidR="00660441">
                        <w:t>Templates</w:t>
                      </w:r>
                    </w:p>
                    <w:p w:rsidR="00660441" w:rsidRDefault="00660441">
                      <w:r>
                        <w:t>Annual Plans</w:t>
                      </w:r>
                    </w:p>
                    <w:p w:rsidR="00576E9C" w:rsidRDefault="00576E9C">
                      <w:r>
                        <w:t>Operational Plans</w:t>
                      </w:r>
                    </w:p>
                    <w:p w:rsidR="00660441" w:rsidRDefault="00660441">
                      <w:r>
                        <w:t>Annual Reports</w:t>
                      </w:r>
                    </w:p>
                  </w:txbxContent>
                </v:textbox>
                <w10:wrap anchorx="margin"/>
              </v:shape>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margin">
                  <wp:posOffset>4467225</wp:posOffset>
                </wp:positionH>
                <wp:positionV relativeFrom="paragraph">
                  <wp:posOffset>1390650</wp:posOffset>
                </wp:positionV>
                <wp:extent cx="1552575" cy="1419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52575" cy="1419225"/>
                        </a:xfrm>
                        <a:prstGeom prst="rect">
                          <a:avLst/>
                        </a:prstGeom>
                        <a:solidFill>
                          <a:schemeClr val="lt1"/>
                        </a:solidFill>
                        <a:ln w="6350">
                          <a:solidFill>
                            <a:prstClr val="black"/>
                          </a:solidFill>
                        </a:ln>
                      </wps:spPr>
                      <wps:txbx>
                        <w:txbxContent>
                          <w:p w:rsidR="00660441" w:rsidRPr="00576E9C" w:rsidRDefault="00660441">
                            <w:pPr>
                              <w:rPr>
                                <w:b/>
                              </w:rPr>
                            </w:pPr>
                            <w:r w:rsidRPr="00576E9C">
                              <w:rPr>
                                <w:b/>
                              </w:rPr>
                              <w:t>Examples:</w:t>
                            </w:r>
                          </w:p>
                          <w:p w:rsidR="00660441" w:rsidRDefault="00660441">
                            <w:r>
                              <w:t>Policies &amp; Procedures Manual</w:t>
                            </w:r>
                          </w:p>
                          <w:p w:rsidR="00660441" w:rsidRDefault="00660441">
                            <w:r>
                              <w:t>Integrated Guidebooks</w:t>
                            </w:r>
                          </w:p>
                          <w:p w:rsidR="00660441" w:rsidRDefault="00660441">
                            <w: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1.75pt;margin-top:109.5pt;width:122.25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" fillcolor="white [3201]" strokeweight=".5pt">
                <v:textbox>
                  <w:txbxContent>
                    <w:p w:rsidR="00660441" w:rsidRPr="00576E9C" w:rsidRDefault="00660441">
                      <w:pPr>
                        <w:rPr>
                          <w:b/>
                        </w:rPr>
                      </w:pPr>
                      <w:r w:rsidRPr="00576E9C">
                        <w:rPr>
                          <w:b/>
                        </w:rPr>
                        <w:t>Examples:</w:t>
                      </w:r>
                    </w:p>
                    <w:p w:rsidR="00660441" w:rsidRDefault="00660441">
                      <w:r>
                        <w:t>Policies &amp; Procedures Manual</w:t>
                      </w:r>
                    </w:p>
                    <w:p w:rsidR="00660441" w:rsidRDefault="00660441">
                      <w:r>
                        <w:t>Integrated Guidebooks</w:t>
                      </w:r>
                    </w:p>
                    <w:p w:rsidR="00660441" w:rsidRDefault="00660441">
                      <w:r>
                        <w:t>Strategic Plan</w:t>
                      </w:r>
                    </w:p>
                  </w:txbxContent>
                </v:textbox>
                <w10:wrap anchorx="margin"/>
              </v:shape>
            </w:pict>
          </mc:Fallback>
        </mc:AlternateContent>
      </w:r>
      <w:r w:rsidR="00576E9C" w:rsidRPr="00847636">
        <w:rPr>
          <w:rFonts w:ascii="Garamond" w:hAnsi="Garamond"/>
          <w:noProof/>
        </w:rPr>
        <mc:AlternateContent>
          <mc:Choice Requires="wps">
            <w:drawing>
              <wp:anchor distT="45720" distB="45720" distL="114300" distR="114300" simplePos="0" relativeHeight="251660288" behindDoc="0" locked="0" layoutInCell="1" allowOverlap="1">
                <wp:simplePos x="0" y="0"/>
                <wp:positionH relativeFrom="column">
                  <wp:posOffset>2914650</wp:posOffset>
                </wp:positionH>
                <wp:positionV relativeFrom="paragraph">
                  <wp:posOffset>3044825</wp:posOffset>
                </wp:positionV>
                <wp:extent cx="3343275" cy="51625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1625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47636" w:rsidRPr="00847636" w:rsidRDefault="00847636">
                            <w:pPr>
                              <w:rPr>
                                <w:b/>
                                <w:i/>
                              </w:rPr>
                            </w:pPr>
                            <w:r w:rsidRPr="00847636">
                              <w:rPr>
                                <w:b/>
                                <w:i/>
                              </w:rPr>
                              <w:t>REVIEWER: Tell me about assessment at BRTC.</w:t>
                            </w:r>
                          </w:p>
                          <w:p w:rsidR="00847636" w:rsidRDefault="00847636">
                            <w:r w:rsidRPr="00847636">
                              <w:rPr>
                                <w:b/>
                              </w:rPr>
                              <w:t xml:space="preserve">Big Picture: </w:t>
                            </w:r>
                            <w:r>
                              <w:t>BRTC takes assessment very seriously. We have several policies in our policy and procedure manual that require assessment. In addition, we have the Assessment Guidebook that describes all formal assessment processes. We have assessment processes for academic courses and programs, and we assess operations through the Administrative and Support Unit Review.</w:t>
                            </w:r>
                          </w:p>
                          <w:p w:rsidR="00847636" w:rsidRDefault="00847636">
                            <w:r w:rsidRPr="00847636">
                              <w:rPr>
                                <w:b/>
                              </w:rPr>
                              <w:t>Supporting Evidence:</w:t>
                            </w:r>
                            <w:r>
                              <w:t xml:space="preserve"> We also have templates for our assessment reports and rubrics for the peer review process.</w:t>
                            </w:r>
                            <w:r w:rsidR="00AB526C">
                              <w:t xml:space="preserve"> An annual Assessment Progress Report provides a summary of recent assessment data.</w:t>
                            </w:r>
                            <w:r>
                              <w:t xml:space="preserve"> </w:t>
                            </w:r>
                          </w:p>
                          <w:p w:rsidR="00847636" w:rsidRDefault="00847636">
                            <w:r w:rsidRPr="00847636">
                              <w:rPr>
                                <w:b/>
                              </w:rPr>
                              <w:t>Specific Examples:</w:t>
                            </w:r>
                            <w:r>
                              <w:t xml:space="preserve"> </w:t>
                            </w:r>
                          </w:p>
                          <w:p w:rsidR="00847636" w:rsidRDefault="00847636" w:rsidP="00847636">
                            <w:pPr>
                              <w:pStyle w:val="ListParagraph"/>
                              <w:numPr>
                                <w:ilvl w:val="0"/>
                                <w:numId w:val="8"/>
                              </w:numPr>
                            </w:pPr>
                            <w:r>
                              <w:t>This year, my program submitted an annual program report, and next year, I am scheduled to complete an external program review for ADHE.</w:t>
                            </w:r>
                            <w:r w:rsidR="00AB526C">
                              <w:t xml:space="preserve"> Recent assessment results have shown . . .</w:t>
                            </w:r>
                          </w:p>
                          <w:p w:rsidR="00847636" w:rsidRDefault="00847636" w:rsidP="00847636">
                            <w:pPr>
                              <w:pStyle w:val="ListParagraph"/>
                              <w:numPr>
                                <w:ilvl w:val="0"/>
                                <w:numId w:val="8"/>
                              </w:numPr>
                            </w:pPr>
                            <w:r>
                              <w:t>My unit is in Year 2 of the ASUR process. Over the past couple of years, our assessment has shown that my area is good at ___. We have been working to improve ___.</w:t>
                            </w:r>
                          </w:p>
                          <w:p w:rsidR="00AB526C" w:rsidRDefault="00AB526C" w:rsidP="00847636">
                            <w:pPr>
                              <w:pStyle w:val="ListParagraph"/>
                              <w:numPr>
                                <w:ilvl w:val="0"/>
                                <w:numId w:val="8"/>
                              </w:numPr>
                            </w:pPr>
                            <w:r>
                              <w:t xml:space="preserve">My CLADR revealed a challenge with ___, so I addressed that challenge by ___. </w:t>
                            </w:r>
                          </w:p>
                          <w:p w:rsidR="00847636" w:rsidRDefault="00847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9.5pt;margin-top:239.75pt;width:263.25pt;height:4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" fillcolor="#c3c3c3 [2166]" strokecolor="#a5a5a5 [3206]" strokeweight=".5pt">
                <v:fill color2="#b6b6b6 [2614]" rotate="t" colors="0 #d2d2d2;.5 #c8c8c8;1 silver" focus="100%" type="gradient">
                  <o:fill v:ext="view" type="gradientUnscaled"/>
                </v:fill>
                <v:textbox>
                  <w:txbxContent>
                    <w:p w:rsidR="00847636" w:rsidRPr="00847636" w:rsidRDefault="00847636">
                      <w:pPr>
                        <w:rPr>
                          <w:b/>
                          <w:i/>
                        </w:rPr>
                      </w:pPr>
                      <w:r w:rsidRPr="00847636">
                        <w:rPr>
                          <w:b/>
                          <w:i/>
                        </w:rPr>
                        <w:t>REVIEWER: Tell me about assessment at BRTC.</w:t>
                      </w:r>
                    </w:p>
                    <w:p w:rsidR="00847636" w:rsidRDefault="00847636">
                      <w:r w:rsidRPr="00847636">
                        <w:rPr>
                          <w:b/>
                        </w:rPr>
                        <w:t xml:space="preserve">Big Picture: </w:t>
                      </w:r>
                      <w:r>
                        <w:t>BRTC takes assessment very seriously. We have several policies in our policy and procedure manual that require assessment. In addition, we have the Assessment Guidebook that describes all formal assessment processes. We have assessment processes for academic courses and programs, and we assess operations through the Administrative and Support Unit Review.</w:t>
                      </w:r>
                    </w:p>
                    <w:p w:rsidR="00847636" w:rsidRDefault="00847636">
                      <w:r w:rsidRPr="00847636">
                        <w:rPr>
                          <w:b/>
                        </w:rPr>
                        <w:t>Supporting Evidence:</w:t>
                      </w:r>
                      <w:r>
                        <w:t xml:space="preserve"> We also have templates for our assessment reports and rubrics for the peer review process.</w:t>
                      </w:r>
                      <w:r w:rsidR="00AB526C">
                        <w:t xml:space="preserve"> An annual Assessment Progress Report provides a summary of recent assessment data.</w:t>
                      </w:r>
                      <w:r>
                        <w:t xml:space="preserve"> </w:t>
                      </w:r>
                    </w:p>
                    <w:p w:rsidR="00847636" w:rsidRDefault="00847636">
                      <w:r w:rsidRPr="00847636">
                        <w:rPr>
                          <w:b/>
                        </w:rPr>
                        <w:t>Specific Examples:</w:t>
                      </w:r>
                      <w:r>
                        <w:t xml:space="preserve"> </w:t>
                      </w:r>
                    </w:p>
                    <w:p w:rsidR="00847636" w:rsidRDefault="00847636" w:rsidP="00847636">
                      <w:pPr>
                        <w:pStyle w:val="ListParagraph"/>
                        <w:numPr>
                          <w:ilvl w:val="0"/>
                          <w:numId w:val="8"/>
                        </w:numPr>
                      </w:pPr>
                      <w:r>
                        <w:t>This year, my program submitted an annual program report, and next year, I am scheduled to complete an external program review for ADHE.</w:t>
                      </w:r>
                      <w:r w:rsidR="00AB526C">
                        <w:t xml:space="preserve"> Recent assessment results have shown . . .</w:t>
                      </w:r>
                    </w:p>
                    <w:p w:rsidR="00847636" w:rsidRDefault="00847636" w:rsidP="00847636">
                      <w:pPr>
                        <w:pStyle w:val="ListParagraph"/>
                        <w:numPr>
                          <w:ilvl w:val="0"/>
                          <w:numId w:val="8"/>
                        </w:numPr>
                      </w:pPr>
                      <w:r>
                        <w:t>My unit is in Year 2 of the ASUR process. Over the past couple of years, our assessment has shown that my area is good at ___. We have been working to improve ___.</w:t>
                      </w:r>
                    </w:p>
                    <w:p w:rsidR="00AB526C" w:rsidRDefault="00AB526C" w:rsidP="00847636">
                      <w:pPr>
                        <w:pStyle w:val="ListParagraph"/>
                        <w:numPr>
                          <w:ilvl w:val="0"/>
                          <w:numId w:val="8"/>
                        </w:numPr>
                      </w:pPr>
                      <w:r>
                        <w:t xml:space="preserve">My CLADR revealed a challenge with ___, so I addressed that challenge by ___. </w:t>
                      </w:r>
                    </w:p>
                    <w:p w:rsidR="00847636" w:rsidRDefault="00847636"/>
                  </w:txbxContent>
                </v:textbox>
                <w10:wrap type="topAndBottom"/>
              </v:shape>
            </w:pict>
          </mc:Fallback>
        </mc:AlternateContent>
      </w:r>
      <w:r w:rsidR="00576E9C" w:rsidRPr="00AB526C">
        <w:rPr>
          <w:rFonts w:ascii="Garamond" w:hAnsi="Garamond"/>
          <w:noProof/>
        </w:rPr>
        <mc:AlternateContent>
          <mc:Choice Requires="wps">
            <w:drawing>
              <wp:anchor distT="45720" distB="45720" distL="114300" distR="114300" simplePos="0" relativeHeight="251662336" behindDoc="0" locked="0" layoutInCell="1" allowOverlap="1">
                <wp:simplePos x="0" y="0"/>
                <wp:positionH relativeFrom="column">
                  <wp:posOffset>-323850</wp:posOffset>
                </wp:positionH>
                <wp:positionV relativeFrom="paragraph">
                  <wp:posOffset>4130675</wp:posOffset>
                </wp:positionV>
                <wp:extent cx="2933700" cy="3514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147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B526C" w:rsidRPr="003C45D7" w:rsidRDefault="00AB526C">
                            <w:pPr>
                              <w:rPr>
                                <w:b/>
                                <w:i/>
                              </w:rPr>
                            </w:pPr>
                            <w:r w:rsidRPr="003C45D7">
                              <w:rPr>
                                <w:b/>
                                <w:i/>
                              </w:rPr>
                              <w:t>REVIEWER: What does BRTC’s budgeting process look like?</w:t>
                            </w:r>
                          </w:p>
                          <w:p w:rsidR="00AB526C" w:rsidRDefault="00AB526C">
                            <w:r w:rsidRPr="003C45D7">
                              <w:rPr>
                                <w:b/>
                              </w:rPr>
                              <w:t>Big Picture:</w:t>
                            </w:r>
                            <w:r>
                              <w:t xml:space="preserve"> BRTC’s budget process involves most everyone on campus. The process is described in detail in the Budget Guidebook and is overseen by the Budget Committee. </w:t>
                            </w:r>
                          </w:p>
                          <w:p w:rsidR="00AB526C" w:rsidRDefault="00AB526C">
                            <w:r w:rsidRPr="003C45D7">
                              <w:rPr>
                                <w:b/>
                              </w:rPr>
                              <w:t>Supporting Evidence:</w:t>
                            </w:r>
                            <w:r>
                              <w:t xml:space="preserve"> The college holds Budget Hearings each spring. Budgets for all departments are reviewed in public hearings by the Budget Committee.</w:t>
                            </w:r>
                          </w:p>
                          <w:p w:rsidR="00AB526C" w:rsidRPr="003C45D7" w:rsidRDefault="00AB526C">
                            <w:pPr>
                              <w:rPr>
                                <w:b/>
                              </w:rPr>
                            </w:pPr>
                            <w:r w:rsidRPr="003C45D7">
                              <w:rPr>
                                <w:b/>
                              </w:rPr>
                              <w:t>Specific Example:</w:t>
                            </w:r>
                          </w:p>
                          <w:p w:rsidR="00AB526C" w:rsidRDefault="00AB526C" w:rsidP="00AB526C">
                            <w:pPr>
                              <w:pStyle w:val="ListParagraph"/>
                              <w:numPr>
                                <w:ilvl w:val="0"/>
                                <w:numId w:val="9"/>
                              </w:numPr>
                            </w:pPr>
                            <w:r>
                              <w:t xml:space="preserve">In my position, I serve as a budget manager for the __ department. I consulted with ___ in the preparation of my budget before submitting it to the Budget Committee for review. . . </w:t>
                            </w:r>
                          </w:p>
                          <w:p w:rsidR="00AB526C" w:rsidRDefault="00AB526C" w:rsidP="00AB5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325.25pt;width:231pt;height:27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" fillcolor="#82a0d7 [2164]" strokecolor="#4472c4 [3204]" strokeweight=".5pt">
                <v:fill color2="#678ccf [2612]" rotate="t" colors="0 #a8b7df;.5 #9aabd9;1 #879ed7" focus="100%" type="gradient">
                  <o:fill v:ext="view" type="gradientUnscaled"/>
                </v:fill>
                <v:textbox>
                  <w:txbxContent>
                    <w:p w:rsidR="00AB526C" w:rsidRPr="003C45D7" w:rsidRDefault="00AB526C">
                      <w:pPr>
                        <w:rPr>
                          <w:b/>
                          <w:i/>
                        </w:rPr>
                      </w:pPr>
                      <w:r w:rsidRPr="003C45D7">
                        <w:rPr>
                          <w:b/>
                          <w:i/>
                        </w:rPr>
                        <w:t>REVIEWER: What does BRTC’s budgeting process look like?</w:t>
                      </w:r>
                    </w:p>
                    <w:p w:rsidR="00AB526C" w:rsidRDefault="00AB526C">
                      <w:r w:rsidRPr="003C45D7">
                        <w:rPr>
                          <w:b/>
                        </w:rPr>
                        <w:t>Big Picture:</w:t>
                      </w:r>
                      <w:r>
                        <w:t xml:space="preserve"> BRTC’s budget process involves most everyone on campus. The process is described in detail in the Budget Guidebook and is overseen by the Budget Committee. </w:t>
                      </w:r>
                    </w:p>
                    <w:p w:rsidR="00AB526C" w:rsidRDefault="00AB526C">
                      <w:r w:rsidRPr="003C45D7">
                        <w:rPr>
                          <w:b/>
                        </w:rPr>
                        <w:t>Supporting Evidence:</w:t>
                      </w:r>
                      <w:r>
                        <w:t xml:space="preserve"> The college holds Budget Hearings each spring. Budgets for all departments are reviewed in public hearings by the Budget Committee.</w:t>
                      </w:r>
                    </w:p>
                    <w:p w:rsidR="00AB526C" w:rsidRPr="003C45D7" w:rsidRDefault="00AB526C">
                      <w:pPr>
                        <w:rPr>
                          <w:b/>
                        </w:rPr>
                      </w:pPr>
                      <w:r w:rsidRPr="003C45D7">
                        <w:rPr>
                          <w:b/>
                        </w:rPr>
                        <w:t>Specific Example:</w:t>
                      </w:r>
                    </w:p>
                    <w:p w:rsidR="00AB526C" w:rsidRDefault="00AB526C" w:rsidP="00AB526C">
                      <w:pPr>
                        <w:pStyle w:val="ListParagraph"/>
                        <w:numPr>
                          <w:ilvl w:val="0"/>
                          <w:numId w:val="9"/>
                        </w:numPr>
                      </w:pPr>
                      <w:r>
                        <w:t xml:space="preserve">In my position, I serve as a budget manager for the __ department. I consulted with ___ in the preparation of my budget before submitting it to the Budget Committee for review. . . </w:t>
                      </w:r>
                    </w:p>
                    <w:p w:rsidR="00AB526C" w:rsidRDefault="00AB526C" w:rsidP="00AB526C"/>
                  </w:txbxContent>
                </v:textbox>
                <w10:wrap type="square"/>
              </v:shape>
            </w:pict>
          </mc:Fallback>
        </mc:AlternateContent>
      </w:r>
      <w:r w:rsidR="00576E9C">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1171575</wp:posOffset>
                </wp:positionV>
                <wp:extent cx="247650" cy="962025"/>
                <wp:effectExtent l="209550" t="0" r="190500" b="0"/>
                <wp:wrapNone/>
                <wp:docPr id="7" name="Arrow: Down 7"/>
                <wp:cNvGraphicFramePr/>
                <a:graphic xmlns:a="http://schemas.openxmlformats.org/drawingml/2006/main">
                  <a:graphicData uri="http://schemas.microsoft.com/office/word/2010/wordprocessingShape">
                    <wps:wsp>
                      <wps:cNvSpPr/>
                      <wps:spPr>
                        <a:xfrm rot="2347428">
                          <a:off x="0" y="0"/>
                          <a:ext cx="247650" cy="962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C614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20.75pt;margin-top:92.25pt;width:19.5pt;height:75.75pt;rotation:2564017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" adj="18820" fillcolor="#4472c4 [3204]" strokecolor="#1f3763 [1604]" strokeweight="1pt"/>
            </w:pict>
          </mc:Fallback>
        </mc:AlternateContent>
      </w:r>
      <w:r w:rsidR="00576E9C">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3933191</wp:posOffset>
                </wp:positionH>
                <wp:positionV relativeFrom="paragraph">
                  <wp:posOffset>742950</wp:posOffset>
                </wp:positionV>
                <wp:extent cx="1009650" cy="285750"/>
                <wp:effectExtent l="152400" t="0" r="209550" b="0"/>
                <wp:wrapNone/>
                <wp:docPr id="6" name="Arrow: Right 6"/>
                <wp:cNvGraphicFramePr/>
                <a:graphic xmlns:a="http://schemas.openxmlformats.org/drawingml/2006/main">
                  <a:graphicData uri="http://schemas.microsoft.com/office/word/2010/wordprocessingShape">
                    <wps:wsp>
                      <wps:cNvSpPr/>
                      <wps:spPr>
                        <a:xfrm rot="3295416">
                          <a:off x="0" y="0"/>
                          <a:ext cx="100965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F009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09.7pt;margin-top:58.5pt;width:79.5pt;height:22.5pt;rotation:3599473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" adj="18543" fillcolor="#4472c4 [3204]" strokecolor="#1f3763 [1604]" strokeweight="1pt"/>
            </w:pict>
          </mc:Fallback>
        </mc:AlternateContent>
      </w:r>
      <w:r w:rsidR="003C45D7">
        <w:rPr>
          <w:noProof/>
        </w:rPr>
        <w:drawing>
          <wp:anchor distT="0" distB="0" distL="114300" distR="114300" simplePos="0" relativeHeight="251658240" behindDoc="1" locked="0" layoutInCell="1" allowOverlap="1">
            <wp:simplePos x="0" y="0"/>
            <wp:positionH relativeFrom="margin">
              <wp:posOffset>838200</wp:posOffset>
            </wp:positionH>
            <wp:positionV relativeFrom="paragraph">
              <wp:posOffset>-228600</wp:posOffset>
            </wp:positionV>
            <wp:extent cx="3952875" cy="3009900"/>
            <wp:effectExtent l="19050" t="38100" r="47625"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847636" w:rsidRPr="00847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EE" w:rsidRDefault="002552EE" w:rsidP="00341A7A">
      <w:pPr>
        <w:spacing w:after="0" w:line="240" w:lineRule="auto"/>
      </w:pPr>
      <w:r>
        <w:separator/>
      </w:r>
    </w:p>
  </w:endnote>
  <w:endnote w:type="continuationSeparator" w:id="0">
    <w:p w:rsidR="002552EE" w:rsidRDefault="002552EE" w:rsidP="0034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EE" w:rsidRDefault="002552EE" w:rsidP="00341A7A">
      <w:pPr>
        <w:spacing w:after="0" w:line="240" w:lineRule="auto"/>
      </w:pPr>
      <w:r>
        <w:separator/>
      </w:r>
    </w:p>
  </w:footnote>
  <w:footnote w:type="continuationSeparator" w:id="0">
    <w:p w:rsidR="002552EE" w:rsidRDefault="002552EE" w:rsidP="00341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3006"/>
    <w:multiLevelType w:val="hybridMultilevel"/>
    <w:tmpl w:val="3D3C9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5477"/>
    <w:multiLevelType w:val="hybridMultilevel"/>
    <w:tmpl w:val="EF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E07B3"/>
    <w:multiLevelType w:val="hybridMultilevel"/>
    <w:tmpl w:val="24868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467FF"/>
    <w:multiLevelType w:val="hybridMultilevel"/>
    <w:tmpl w:val="EF10C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43394"/>
    <w:multiLevelType w:val="multilevel"/>
    <w:tmpl w:val="E07E0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E0B35"/>
    <w:multiLevelType w:val="hybridMultilevel"/>
    <w:tmpl w:val="D5328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lvlOverride w:ilvl="2">
      <w:lvl w:ilvl="2">
        <w:numFmt w:val="lowerRoman"/>
        <w:lvlText w:val="%3."/>
        <w:lvlJc w:val="right"/>
      </w:lvl>
    </w:lvlOverride>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7A"/>
    <w:rsid w:val="00083507"/>
    <w:rsid w:val="001B5704"/>
    <w:rsid w:val="001C0E26"/>
    <w:rsid w:val="001C287C"/>
    <w:rsid w:val="002552EE"/>
    <w:rsid w:val="00306793"/>
    <w:rsid w:val="00341A7A"/>
    <w:rsid w:val="003C45D7"/>
    <w:rsid w:val="00576E9C"/>
    <w:rsid w:val="005F7204"/>
    <w:rsid w:val="00620E94"/>
    <w:rsid w:val="00660441"/>
    <w:rsid w:val="00832C0F"/>
    <w:rsid w:val="00847636"/>
    <w:rsid w:val="00AA6B4B"/>
    <w:rsid w:val="00AB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D946"/>
  <w15:chartTrackingRefBased/>
  <w15:docId w15:val="{3989DFEB-9F68-4595-A05D-818C40E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A7A"/>
  </w:style>
  <w:style w:type="paragraph" w:styleId="Footer">
    <w:name w:val="footer"/>
    <w:basedOn w:val="Normal"/>
    <w:link w:val="FooterChar"/>
    <w:uiPriority w:val="99"/>
    <w:unhideWhenUsed/>
    <w:rsid w:val="0034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7A"/>
  </w:style>
  <w:style w:type="paragraph" w:styleId="NormalWeb">
    <w:name w:val="Normal (Web)"/>
    <w:basedOn w:val="Normal"/>
    <w:uiPriority w:val="99"/>
    <w:semiHidden/>
    <w:unhideWhenUsed/>
    <w:rsid w:val="00341A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920F4-6488-405A-B7AC-A71ED27311C0}" type="doc">
      <dgm:prSet loTypeId="urn:microsoft.com/office/officeart/2005/8/layout/pyramid3" loCatId="pyramid" qsTypeId="urn:microsoft.com/office/officeart/2005/8/quickstyle/simple1" qsCatId="simple" csTypeId="urn:microsoft.com/office/officeart/2005/8/colors/accent1_2" csCatId="accent1" phldr="1"/>
      <dgm:spPr/>
    </dgm:pt>
    <dgm:pt modelId="{13ADF975-A04B-4468-94F0-556782AC54D7}">
      <dgm:prSet phldrT="[Text]"/>
      <dgm:spPr/>
      <dgm:t>
        <a:bodyPr/>
        <a:lstStyle/>
        <a:p>
          <a:r>
            <a:rPr lang="en-US"/>
            <a:t>Big Picture:</a:t>
          </a:r>
        </a:p>
        <a:p>
          <a:r>
            <a:rPr lang="en-US"/>
            <a:t>Institutional Policies &amp; Processes </a:t>
          </a:r>
        </a:p>
      </dgm:t>
    </dgm:pt>
    <dgm:pt modelId="{8E4D75AF-3316-4B62-AECD-B12D4DDFAE4F}" type="parTrans" cxnId="{61EE3FE0-EDEA-4CA1-9FE7-EF3A83682076}">
      <dgm:prSet/>
      <dgm:spPr/>
      <dgm:t>
        <a:bodyPr/>
        <a:lstStyle/>
        <a:p>
          <a:endParaRPr lang="en-US"/>
        </a:p>
      </dgm:t>
    </dgm:pt>
    <dgm:pt modelId="{3B471F19-C8E9-47B9-82A9-F057EC0242E4}" type="sibTrans" cxnId="{61EE3FE0-EDEA-4CA1-9FE7-EF3A83682076}">
      <dgm:prSet/>
      <dgm:spPr/>
      <dgm:t>
        <a:bodyPr/>
        <a:lstStyle/>
        <a:p>
          <a:endParaRPr lang="en-US"/>
        </a:p>
      </dgm:t>
    </dgm:pt>
    <dgm:pt modelId="{8F8E965F-43E6-4138-B285-C0C8387AF4D2}">
      <dgm:prSet phldrT="[Text]" custT="1"/>
      <dgm:spPr/>
      <dgm:t>
        <a:bodyPr/>
        <a:lstStyle/>
        <a:p>
          <a:pPr algn="ctr"/>
          <a:r>
            <a:rPr lang="en-US" sz="1600"/>
            <a:t>Supporting Evidence &amp; Documentation</a:t>
          </a:r>
        </a:p>
      </dgm:t>
    </dgm:pt>
    <dgm:pt modelId="{1FFD9B48-851C-411F-B07C-50582F7F34E3}" type="parTrans" cxnId="{8BD5E00D-8AAA-4820-875C-8185CF65658B}">
      <dgm:prSet/>
      <dgm:spPr/>
      <dgm:t>
        <a:bodyPr/>
        <a:lstStyle/>
        <a:p>
          <a:endParaRPr lang="en-US"/>
        </a:p>
      </dgm:t>
    </dgm:pt>
    <dgm:pt modelId="{BBAC9B21-C934-4A78-9DB5-20814F9C5345}" type="sibTrans" cxnId="{8BD5E00D-8AAA-4820-875C-8185CF65658B}">
      <dgm:prSet/>
      <dgm:spPr/>
      <dgm:t>
        <a:bodyPr/>
        <a:lstStyle/>
        <a:p>
          <a:endParaRPr lang="en-US"/>
        </a:p>
      </dgm:t>
    </dgm:pt>
    <dgm:pt modelId="{21C68197-F5B3-4399-8362-91BBE1A81F55}">
      <dgm:prSet phldrT="[Text]" custT="1"/>
      <dgm:spPr/>
      <dgm:t>
        <a:bodyPr/>
        <a:lstStyle/>
        <a:p>
          <a:r>
            <a:rPr lang="en-US" sz="1200"/>
            <a:t>Specific</a:t>
          </a:r>
        </a:p>
        <a:p>
          <a:r>
            <a:rPr lang="en-US" sz="1200"/>
            <a:t> Examples</a:t>
          </a:r>
        </a:p>
        <a:p>
          <a:endParaRPr lang="en-US" sz="2000"/>
        </a:p>
      </dgm:t>
    </dgm:pt>
    <dgm:pt modelId="{336BB421-AFAB-41AD-9EF4-562C819A72BE}" type="parTrans" cxnId="{F270662C-7255-4BFA-81F7-0D70A00D4A8A}">
      <dgm:prSet/>
      <dgm:spPr/>
      <dgm:t>
        <a:bodyPr/>
        <a:lstStyle/>
        <a:p>
          <a:endParaRPr lang="en-US"/>
        </a:p>
      </dgm:t>
    </dgm:pt>
    <dgm:pt modelId="{5CB50545-3A0C-4B6E-AFC0-DF5BD23C8AC8}" type="sibTrans" cxnId="{F270662C-7255-4BFA-81F7-0D70A00D4A8A}">
      <dgm:prSet/>
      <dgm:spPr/>
      <dgm:t>
        <a:bodyPr/>
        <a:lstStyle/>
        <a:p>
          <a:endParaRPr lang="en-US"/>
        </a:p>
      </dgm:t>
    </dgm:pt>
    <dgm:pt modelId="{125E7745-61F6-468E-AFF2-E195D6EC045D}" type="pres">
      <dgm:prSet presAssocID="{3E6920F4-6488-405A-B7AC-A71ED27311C0}" presName="Name0" presStyleCnt="0">
        <dgm:presLayoutVars>
          <dgm:dir/>
          <dgm:animLvl val="lvl"/>
          <dgm:resizeHandles val="exact"/>
        </dgm:presLayoutVars>
      </dgm:prSet>
      <dgm:spPr/>
    </dgm:pt>
    <dgm:pt modelId="{D23B53B1-9482-4FFF-8BFD-20BE66201490}" type="pres">
      <dgm:prSet presAssocID="{13ADF975-A04B-4468-94F0-556782AC54D7}" presName="Name8" presStyleCnt="0"/>
      <dgm:spPr/>
    </dgm:pt>
    <dgm:pt modelId="{400EF640-6605-4362-BA22-039641626FD8}" type="pres">
      <dgm:prSet presAssocID="{13ADF975-A04B-4468-94F0-556782AC54D7}" presName="level" presStyleLbl="node1" presStyleIdx="0" presStyleCnt="3">
        <dgm:presLayoutVars>
          <dgm:chMax val="1"/>
          <dgm:bulletEnabled val="1"/>
        </dgm:presLayoutVars>
      </dgm:prSet>
      <dgm:spPr/>
    </dgm:pt>
    <dgm:pt modelId="{2A510554-AF90-4729-AC9B-77CB3A5FEBE7}" type="pres">
      <dgm:prSet presAssocID="{13ADF975-A04B-4468-94F0-556782AC54D7}" presName="levelTx" presStyleLbl="revTx" presStyleIdx="0" presStyleCnt="0">
        <dgm:presLayoutVars>
          <dgm:chMax val="1"/>
          <dgm:bulletEnabled val="1"/>
        </dgm:presLayoutVars>
      </dgm:prSet>
      <dgm:spPr/>
    </dgm:pt>
    <dgm:pt modelId="{066806AB-3659-4248-B5D3-C7225EFE208B}" type="pres">
      <dgm:prSet presAssocID="{8F8E965F-43E6-4138-B285-C0C8387AF4D2}" presName="Name8" presStyleCnt="0"/>
      <dgm:spPr/>
    </dgm:pt>
    <dgm:pt modelId="{0AB6FE2A-1FC1-4E20-9421-CFD3E89C332F}" type="pres">
      <dgm:prSet presAssocID="{8F8E965F-43E6-4138-B285-C0C8387AF4D2}" presName="level" presStyleLbl="node1" presStyleIdx="1" presStyleCnt="3">
        <dgm:presLayoutVars>
          <dgm:chMax val="1"/>
          <dgm:bulletEnabled val="1"/>
        </dgm:presLayoutVars>
      </dgm:prSet>
      <dgm:spPr/>
    </dgm:pt>
    <dgm:pt modelId="{3EC3CC67-62EA-4801-8F00-F89B3463BBB2}" type="pres">
      <dgm:prSet presAssocID="{8F8E965F-43E6-4138-B285-C0C8387AF4D2}" presName="levelTx" presStyleLbl="revTx" presStyleIdx="0" presStyleCnt="0">
        <dgm:presLayoutVars>
          <dgm:chMax val="1"/>
          <dgm:bulletEnabled val="1"/>
        </dgm:presLayoutVars>
      </dgm:prSet>
      <dgm:spPr/>
    </dgm:pt>
    <dgm:pt modelId="{A61B93A2-419A-4F0F-A357-7CF0699B4D12}" type="pres">
      <dgm:prSet presAssocID="{21C68197-F5B3-4399-8362-91BBE1A81F55}" presName="Name8" presStyleCnt="0"/>
      <dgm:spPr/>
    </dgm:pt>
    <dgm:pt modelId="{BDF37B1D-35A1-4B71-8CFE-114059D4EEC3}" type="pres">
      <dgm:prSet presAssocID="{21C68197-F5B3-4399-8362-91BBE1A81F55}" presName="level" presStyleLbl="node1" presStyleIdx="2" presStyleCnt="3">
        <dgm:presLayoutVars>
          <dgm:chMax val="1"/>
          <dgm:bulletEnabled val="1"/>
        </dgm:presLayoutVars>
      </dgm:prSet>
      <dgm:spPr/>
    </dgm:pt>
    <dgm:pt modelId="{360E13CD-6B34-4779-A699-DD1829960D21}" type="pres">
      <dgm:prSet presAssocID="{21C68197-F5B3-4399-8362-91BBE1A81F55}" presName="levelTx" presStyleLbl="revTx" presStyleIdx="0" presStyleCnt="0">
        <dgm:presLayoutVars>
          <dgm:chMax val="1"/>
          <dgm:bulletEnabled val="1"/>
        </dgm:presLayoutVars>
      </dgm:prSet>
      <dgm:spPr/>
    </dgm:pt>
  </dgm:ptLst>
  <dgm:cxnLst>
    <dgm:cxn modelId="{8BD5E00D-8AAA-4820-875C-8185CF65658B}" srcId="{3E6920F4-6488-405A-B7AC-A71ED27311C0}" destId="{8F8E965F-43E6-4138-B285-C0C8387AF4D2}" srcOrd="1" destOrd="0" parTransId="{1FFD9B48-851C-411F-B07C-50582F7F34E3}" sibTransId="{BBAC9B21-C934-4A78-9DB5-20814F9C5345}"/>
    <dgm:cxn modelId="{07E21710-4819-4523-AFDF-5321CA1DEF48}" type="presOf" srcId="{8F8E965F-43E6-4138-B285-C0C8387AF4D2}" destId="{3EC3CC67-62EA-4801-8F00-F89B3463BBB2}" srcOrd="1" destOrd="0" presId="urn:microsoft.com/office/officeart/2005/8/layout/pyramid3"/>
    <dgm:cxn modelId="{F270662C-7255-4BFA-81F7-0D70A00D4A8A}" srcId="{3E6920F4-6488-405A-B7AC-A71ED27311C0}" destId="{21C68197-F5B3-4399-8362-91BBE1A81F55}" srcOrd="2" destOrd="0" parTransId="{336BB421-AFAB-41AD-9EF4-562C819A72BE}" sibTransId="{5CB50545-3A0C-4B6E-AFC0-DF5BD23C8AC8}"/>
    <dgm:cxn modelId="{5C0F2953-4354-43AA-8163-DC57204AFEC0}" type="presOf" srcId="{13ADF975-A04B-4468-94F0-556782AC54D7}" destId="{400EF640-6605-4362-BA22-039641626FD8}" srcOrd="0" destOrd="0" presId="urn:microsoft.com/office/officeart/2005/8/layout/pyramid3"/>
    <dgm:cxn modelId="{3FD6BF53-1498-4ADC-972E-CE968518AAEE}" type="presOf" srcId="{21C68197-F5B3-4399-8362-91BBE1A81F55}" destId="{BDF37B1D-35A1-4B71-8CFE-114059D4EEC3}" srcOrd="0" destOrd="0" presId="urn:microsoft.com/office/officeart/2005/8/layout/pyramid3"/>
    <dgm:cxn modelId="{F724F77F-3701-49F6-8D8C-E6EE57AF59A6}" type="presOf" srcId="{13ADF975-A04B-4468-94F0-556782AC54D7}" destId="{2A510554-AF90-4729-AC9B-77CB3A5FEBE7}" srcOrd="1" destOrd="0" presId="urn:microsoft.com/office/officeart/2005/8/layout/pyramid3"/>
    <dgm:cxn modelId="{B27871A9-8330-4B88-ACC6-B9A9C08D74A3}" type="presOf" srcId="{21C68197-F5B3-4399-8362-91BBE1A81F55}" destId="{360E13CD-6B34-4779-A699-DD1829960D21}" srcOrd="1" destOrd="0" presId="urn:microsoft.com/office/officeart/2005/8/layout/pyramid3"/>
    <dgm:cxn modelId="{D83979C7-6DF1-4BAA-A357-E4B10D62DC99}" type="presOf" srcId="{3E6920F4-6488-405A-B7AC-A71ED27311C0}" destId="{125E7745-61F6-468E-AFF2-E195D6EC045D}" srcOrd="0" destOrd="0" presId="urn:microsoft.com/office/officeart/2005/8/layout/pyramid3"/>
    <dgm:cxn modelId="{61EE3FE0-EDEA-4CA1-9FE7-EF3A83682076}" srcId="{3E6920F4-6488-405A-B7AC-A71ED27311C0}" destId="{13ADF975-A04B-4468-94F0-556782AC54D7}" srcOrd="0" destOrd="0" parTransId="{8E4D75AF-3316-4B62-AECD-B12D4DDFAE4F}" sibTransId="{3B471F19-C8E9-47B9-82A9-F057EC0242E4}"/>
    <dgm:cxn modelId="{621F80E8-2559-4698-933A-BAB938975880}" type="presOf" srcId="{8F8E965F-43E6-4138-B285-C0C8387AF4D2}" destId="{0AB6FE2A-1FC1-4E20-9421-CFD3E89C332F}" srcOrd="0" destOrd="0" presId="urn:microsoft.com/office/officeart/2005/8/layout/pyramid3"/>
    <dgm:cxn modelId="{7DBFFE93-0C98-4B3F-B7A2-F7D688B058F3}" type="presParOf" srcId="{125E7745-61F6-468E-AFF2-E195D6EC045D}" destId="{D23B53B1-9482-4FFF-8BFD-20BE66201490}" srcOrd="0" destOrd="0" presId="urn:microsoft.com/office/officeart/2005/8/layout/pyramid3"/>
    <dgm:cxn modelId="{DDE20CB0-17C5-40F0-89F0-1195BA8BC3AD}" type="presParOf" srcId="{D23B53B1-9482-4FFF-8BFD-20BE66201490}" destId="{400EF640-6605-4362-BA22-039641626FD8}" srcOrd="0" destOrd="0" presId="urn:microsoft.com/office/officeart/2005/8/layout/pyramid3"/>
    <dgm:cxn modelId="{17CD8BB4-EACF-4959-A498-DCA2D0E69DDC}" type="presParOf" srcId="{D23B53B1-9482-4FFF-8BFD-20BE66201490}" destId="{2A510554-AF90-4729-AC9B-77CB3A5FEBE7}" srcOrd="1" destOrd="0" presId="urn:microsoft.com/office/officeart/2005/8/layout/pyramid3"/>
    <dgm:cxn modelId="{48632869-7133-4561-9787-90D220B0E74E}" type="presParOf" srcId="{125E7745-61F6-468E-AFF2-E195D6EC045D}" destId="{066806AB-3659-4248-B5D3-C7225EFE208B}" srcOrd="1" destOrd="0" presId="urn:microsoft.com/office/officeart/2005/8/layout/pyramid3"/>
    <dgm:cxn modelId="{326944DE-E4F3-4FEB-A207-F1FF858CA7C9}" type="presParOf" srcId="{066806AB-3659-4248-B5D3-C7225EFE208B}" destId="{0AB6FE2A-1FC1-4E20-9421-CFD3E89C332F}" srcOrd="0" destOrd="0" presId="urn:microsoft.com/office/officeart/2005/8/layout/pyramid3"/>
    <dgm:cxn modelId="{F021950F-C909-43D5-A015-A8A636381261}" type="presParOf" srcId="{066806AB-3659-4248-B5D3-C7225EFE208B}" destId="{3EC3CC67-62EA-4801-8F00-F89B3463BBB2}" srcOrd="1" destOrd="0" presId="urn:microsoft.com/office/officeart/2005/8/layout/pyramid3"/>
    <dgm:cxn modelId="{59EE9007-E0C9-4EF3-863C-8EF6ABCD063E}" type="presParOf" srcId="{125E7745-61F6-468E-AFF2-E195D6EC045D}" destId="{A61B93A2-419A-4F0F-A357-7CF0699B4D12}" srcOrd="2" destOrd="0" presId="urn:microsoft.com/office/officeart/2005/8/layout/pyramid3"/>
    <dgm:cxn modelId="{ABE7BE02-12BC-4851-95F2-D715A84C6312}" type="presParOf" srcId="{A61B93A2-419A-4F0F-A357-7CF0699B4D12}" destId="{BDF37B1D-35A1-4B71-8CFE-114059D4EEC3}" srcOrd="0" destOrd="0" presId="urn:microsoft.com/office/officeart/2005/8/layout/pyramid3"/>
    <dgm:cxn modelId="{43015742-13BE-46A5-AC91-DD7E6D65F3DE}" type="presParOf" srcId="{A61B93A2-419A-4F0F-A357-7CF0699B4D12}" destId="{360E13CD-6B34-4779-A699-DD1829960D21}"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EF640-6605-4362-BA22-039641626FD8}">
      <dsp:nvSpPr>
        <dsp:cNvPr id="0" name=""/>
        <dsp:cNvSpPr/>
      </dsp:nvSpPr>
      <dsp:spPr>
        <a:xfrm rot="10800000">
          <a:off x="0" y="0"/>
          <a:ext cx="3952875" cy="1003300"/>
        </a:xfrm>
        <a:prstGeom prst="trapezoid">
          <a:avLst>
            <a:gd name="adj" fmla="val 656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Big Picture:</a:t>
          </a:r>
        </a:p>
        <a:p>
          <a:pPr marL="0" lvl="0" indent="0" algn="ctr" defTabSz="889000">
            <a:lnSpc>
              <a:spcPct val="90000"/>
            </a:lnSpc>
            <a:spcBef>
              <a:spcPct val="0"/>
            </a:spcBef>
            <a:spcAft>
              <a:spcPct val="35000"/>
            </a:spcAft>
            <a:buNone/>
          </a:pPr>
          <a:r>
            <a:rPr lang="en-US" sz="2000" kern="1200"/>
            <a:t>Institutional Policies &amp; Processes </a:t>
          </a:r>
        </a:p>
      </dsp:txBody>
      <dsp:txXfrm rot="-10800000">
        <a:off x="691753" y="0"/>
        <a:ext cx="2569368" cy="1003300"/>
      </dsp:txXfrm>
    </dsp:sp>
    <dsp:sp modelId="{0AB6FE2A-1FC1-4E20-9421-CFD3E89C332F}">
      <dsp:nvSpPr>
        <dsp:cNvPr id="0" name=""/>
        <dsp:cNvSpPr/>
      </dsp:nvSpPr>
      <dsp:spPr>
        <a:xfrm rot="10800000">
          <a:off x="658812" y="1003300"/>
          <a:ext cx="2635250" cy="1003300"/>
        </a:xfrm>
        <a:prstGeom prst="trapezoid">
          <a:avLst>
            <a:gd name="adj" fmla="val 656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Supporting Evidence &amp; Documentation</a:t>
          </a:r>
        </a:p>
      </dsp:txBody>
      <dsp:txXfrm rot="-10800000">
        <a:off x="1119981" y="1003300"/>
        <a:ext cx="1712912" cy="1003300"/>
      </dsp:txXfrm>
    </dsp:sp>
    <dsp:sp modelId="{BDF37B1D-35A1-4B71-8CFE-114059D4EEC3}">
      <dsp:nvSpPr>
        <dsp:cNvPr id="0" name=""/>
        <dsp:cNvSpPr/>
      </dsp:nvSpPr>
      <dsp:spPr>
        <a:xfrm rot="10800000">
          <a:off x="1317625" y="2006600"/>
          <a:ext cx="1317625" cy="1003300"/>
        </a:xfrm>
        <a:prstGeom prst="trapezoid">
          <a:avLst>
            <a:gd name="adj" fmla="val 6566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Specific</a:t>
          </a:r>
        </a:p>
        <a:p>
          <a:pPr marL="0" lvl="0" indent="0" algn="ctr" defTabSz="533400">
            <a:lnSpc>
              <a:spcPct val="90000"/>
            </a:lnSpc>
            <a:spcBef>
              <a:spcPct val="0"/>
            </a:spcBef>
            <a:spcAft>
              <a:spcPct val="35000"/>
            </a:spcAft>
            <a:buNone/>
          </a:pPr>
          <a:r>
            <a:rPr lang="en-US" sz="1200" kern="1200"/>
            <a:t> Examples</a:t>
          </a:r>
        </a:p>
        <a:p>
          <a:pPr marL="0" lvl="0" indent="0" algn="ctr" defTabSz="533400">
            <a:lnSpc>
              <a:spcPct val="90000"/>
            </a:lnSpc>
            <a:spcBef>
              <a:spcPct val="0"/>
            </a:spcBef>
            <a:spcAft>
              <a:spcPct val="35000"/>
            </a:spcAft>
            <a:buNone/>
          </a:pPr>
          <a:endParaRPr lang="en-US" sz="2000" kern="1200"/>
        </a:p>
      </dsp:txBody>
      <dsp:txXfrm rot="-10800000">
        <a:off x="1317625" y="2006600"/>
        <a:ext cx="1317625" cy="10033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18153</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2</cp:revision>
  <cp:lastPrinted>2022-09-21T16:35:00Z</cp:lastPrinted>
  <dcterms:created xsi:type="dcterms:W3CDTF">2022-09-08T18:00:00Z</dcterms:created>
  <dcterms:modified xsi:type="dcterms:W3CDTF">2022-10-06T14:41:00Z</dcterms:modified>
</cp:coreProperties>
</file>