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928" w:rsidRPr="000A2928" w:rsidRDefault="000A2928" w:rsidP="000A2928">
      <w:pPr>
        <w:shd w:val="clear" w:color="auto" w:fill="FFFFFF"/>
        <w:spacing w:before="150" w:after="75" w:line="240" w:lineRule="auto"/>
        <w:contextualSpacing/>
        <w:outlineLvl w:val="3"/>
        <w:rPr>
          <w:rFonts w:ascii="Garamond" w:eastAsia="Times New Roman" w:hAnsi="Garamond" w:cs="Arial"/>
          <w:b/>
          <w:sz w:val="36"/>
          <w:szCs w:val="38"/>
        </w:rPr>
      </w:pPr>
      <w:r w:rsidRPr="000A2928">
        <w:rPr>
          <w:rFonts w:ascii="Garamond" w:eastAsia="Times New Roman" w:hAnsi="Garamond" w:cs="Arial"/>
          <w:b/>
          <w:sz w:val="36"/>
          <w:szCs w:val="38"/>
        </w:rPr>
        <w:t>Criterion 5. Institutional Effectiveness, Resources and Planning</w:t>
      </w: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b/>
          <w:sz w:val="24"/>
          <w:szCs w:val="27"/>
        </w:rPr>
      </w:pPr>
      <w:r w:rsidRPr="000A2928">
        <w:rPr>
          <w:rFonts w:ascii="Garamond" w:eastAsia="Times New Roman" w:hAnsi="Garamond" w:cs="Arial"/>
          <w:b/>
          <w:sz w:val="24"/>
          <w:szCs w:val="27"/>
        </w:rPr>
        <w:t>The institution’s resources, structures, and processes are sufficient to fulfill its mission, improve the quality of its educational offerings, and respond to future challenges and opportunities.</w:t>
      </w:r>
    </w:p>
    <w:p w:rsidR="000A2928" w:rsidRP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b/>
          <w:sz w:val="24"/>
          <w:szCs w:val="27"/>
        </w:rPr>
      </w:pPr>
    </w:p>
    <w:p w:rsidR="000A2928" w:rsidRDefault="000A2928" w:rsidP="000A2928">
      <w:pPr>
        <w:shd w:val="clear" w:color="auto" w:fill="FFFFFF"/>
        <w:spacing w:after="105" w:line="240" w:lineRule="auto"/>
        <w:contextualSpacing/>
        <w:outlineLvl w:val="4"/>
        <w:rPr>
          <w:rFonts w:ascii="Garamond" w:eastAsia="Times New Roman" w:hAnsi="Garamond" w:cs="Arial"/>
          <w:sz w:val="28"/>
          <w:szCs w:val="30"/>
        </w:rPr>
      </w:pPr>
      <w:r w:rsidRPr="000A2928">
        <w:rPr>
          <w:rFonts w:ascii="Garamond" w:eastAsia="Times New Roman" w:hAnsi="Garamond" w:cs="Arial"/>
          <w:sz w:val="28"/>
          <w:szCs w:val="30"/>
        </w:rPr>
        <w:t>Core Components</w:t>
      </w:r>
    </w:p>
    <w:p w:rsidR="000A2928" w:rsidRPr="000A2928" w:rsidRDefault="000A2928" w:rsidP="000A2928">
      <w:pPr>
        <w:shd w:val="clear" w:color="auto" w:fill="FFFFFF"/>
        <w:spacing w:after="105" w:line="240" w:lineRule="auto"/>
        <w:contextualSpacing/>
        <w:outlineLvl w:val="4"/>
        <w:rPr>
          <w:rFonts w:ascii="Garamond" w:eastAsia="Times New Roman" w:hAnsi="Garamond" w:cs="Arial"/>
          <w:sz w:val="28"/>
          <w:szCs w:val="30"/>
        </w:rPr>
      </w:pP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b/>
          <w:bCs/>
          <w:sz w:val="24"/>
          <w:szCs w:val="27"/>
        </w:rPr>
        <w:t>5.A.</w:t>
      </w:r>
      <w:r w:rsidRPr="000A2928">
        <w:rPr>
          <w:rFonts w:ascii="Garamond" w:eastAsia="Times New Roman" w:hAnsi="Garamond" w:cs="Arial"/>
          <w:sz w:val="24"/>
          <w:szCs w:val="27"/>
        </w:rPr>
        <w:t> Through its administrative structures and collaborative processes, the institution’s leadership demonstrates that it is effective and enables the institution to fulfill its mission.</w:t>
      </w: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Shared governance at the institution engages its internal constituencies—including its governing board, administration, faculty, staff and students—through planning, policies and procedures.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institution’s administration uses data to reach informed decisions in the best interests of the institution and its constituents.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institution’s administration ensures that faculty and, when appropriate, staff and students are involved in setting academic requirements, policy and processes through effective collaborative structures.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b/>
          <w:bCs/>
          <w:sz w:val="24"/>
          <w:szCs w:val="27"/>
        </w:rPr>
        <w:lastRenderedPageBreak/>
        <w:t>5.B.</w:t>
      </w:r>
      <w:r w:rsidRPr="000A2928">
        <w:rPr>
          <w:rFonts w:ascii="Garamond" w:eastAsia="Times New Roman" w:hAnsi="Garamond" w:cs="Arial"/>
          <w:sz w:val="24"/>
          <w:szCs w:val="27"/>
        </w:rPr>
        <w:t> The institution’s resource base supports its educational offerings and its plans for maintaining and strengthening their quality in the future.</w:t>
      </w: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institution has qualified and trained operational staff and infrastructure sufficient to support its operations wherever and however programs are delivered.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goals incorporated into the mission and any related statements are realistic in light of the institution’s organization, resources and opportunities.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institution has a well-developed process in place for budgeting and for monitoring its finances.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institution’s fiscal allocations ensure that its educational purposes are achieved.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b/>
          <w:bCs/>
          <w:sz w:val="24"/>
          <w:szCs w:val="27"/>
        </w:rPr>
        <w:lastRenderedPageBreak/>
        <w:t>5.C.</w:t>
      </w:r>
      <w:r w:rsidRPr="000A2928">
        <w:rPr>
          <w:rFonts w:ascii="Garamond" w:eastAsia="Times New Roman" w:hAnsi="Garamond" w:cs="Arial"/>
          <w:sz w:val="24"/>
          <w:szCs w:val="27"/>
        </w:rPr>
        <w:t> The institution engages in systematic and integrated planning and improvement.</w:t>
      </w: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after="0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institution allocates its resources in alignment with its mission and priorities, including, as applicable, its comprehensive research enterprise, associated institutes and affiliated centers.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institution links its processes for assessment of student learning, evaluation of operations, planning and budgeting.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planning process encompasses the institution as a whole and considers the perspectives of internal and external constituent groups.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institution plans on the basis of a sound understanding of its current capacity, including fluctuations in the institution’s sources of revenue and enrollment.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lastRenderedPageBreak/>
        <w:t>Institutional planning anticipates evolving external factors, such as technology advancements, demographic shifts, globalization, the economy and state support.</w:t>
      </w: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Garamond" w:eastAsia="Times New Roman" w:hAnsi="Garamond" w:cs="Arial"/>
          <w:sz w:val="24"/>
          <w:szCs w:val="27"/>
        </w:rPr>
      </w:pPr>
    </w:p>
    <w:p w:rsidR="000A2928" w:rsidRPr="000A2928" w:rsidRDefault="000A2928" w:rsidP="000A292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750"/>
        <w:contextualSpacing/>
        <w:rPr>
          <w:rFonts w:ascii="Garamond" w:eastAsia="Times New Roman" w:hAnsi="Garamond" w:cs="Arial"/>
          <w:sz w:val="24"/>
          <w:szCs w:val="27"/>
        </w:rPr>
      </w:pPr>
      <w:r w:rsidRPr="000A2928">
        <w:rPr>
          <w:rFonts w:ascii="Garamond" w:eastAsia="Times New Roman" w:hAnsi="Garamond" w:cs="Arial"/>
          <w:sz w:val="24"/>
          <w:szCs w:val="27"/>
        </w:rPr>
        <w:t>The institution implements its plans to systematically improve its operations and student outcomes.</w:t>
      </w:r>
    </w:p>
    <w:p w:rsidR="00D44B42" w:rsidRDefault="00D44B42"/>
    <w:sectPr w:rsidR="00D44B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5D1" w:rsidRDefault="002B15D1" w:rsidP="000A2928">
      <w:pPr>
        <w:spacing w:after="0" w:line="240" w:lineRule="auto"/>
      </w:pPr>
      <w:r>
        <w:separator/>
      </w:r>
    </w:p>
  </w:endnote>
  <w:endnote w:type="continuationSeparator" w:id="0">
    <w:p w:rsidR="002B15D1" w:rsidRDefault="002B15D1" w:rsidP="000A2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28" w:rsidRDefault="000A29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7689143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0" w:name="_GoBack" w:displacedByCustomXml="prev"/>
      <w:bookmarkEnd w:id="0" w:displacedByCustomXml="prev"/>
      <w:p w:rsidR="000A2928" w:rsidRDefault="000A29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928" w:rsidRDefault="000A29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28" w:rsidRDefault="000A2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5D1" w:rsidRDefault="002B15D1" w:rsidP="000A2928">
      <w:pPr>
        <w:spacing w:after="0" w:line="240" w:lineRule="auto"/>
      </w:pPr>
      <w:r>
        <w:separator/>
      </w:r>
    </w:p>
  </w:footnote>
  <w:footnote w:type="continuationSeparator" w:id="0">
    <w:p w:rsidR="002B15D1" w:rsidRDefault="002B15D1" w:rsidP="000A2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28" w:rsidRDefault="000A29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28" w:rsidRDefault="000A292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928" w:rsidRDefault="000A29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77EA"/>
    <w:multiLevelType w:val="multilevel"/>
    <w:tmpl w:val="2D88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78684A"/>
    <w:multiLevelType w:val="multilevel"/>
    <w:tmpl w:val="53C06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90A4F7C"/>
    <w:multiLevelType w:val="multilevel"/>
    <w:tmpl w:val="376C9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928"/>
    <w:rsid w:val="000A2928"/>
    <w:rsid w:val="002B15D1"/>
    <w:rsid w:val="00D4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5DE9CC"/>
  <w15:chartTrackingRefBased/>
  <w15:docId w15:val="{D0E042F1-13EA-4BB8-A213-5153B70B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A29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A29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29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A292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292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A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928"/>
  </w:style>
  <w:style w:type="paragraph" w:styleId="Footer">
    <w:name w:val="footer"/>
    <w:basedOn w:val="Normal"/>
    <w:link w:val="FooterChar"/>
    <w:uiPriority w:val="99"/>
    <w:unhideWhenUsed/>
    <w:rsid w:val="000A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River Technical College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Sissy Gray</dc:creator>
  <cp:keywords/>
  <dc:description/>
  <cp:lastModifiedBy>Sissy Gray</cp:lastModifiedBy>
  <cp:revision>1</cp:revision>
  <dcterms:created xsi:type="dcterms:W3CDTF">2022-09-07T15:08:00Z</dcterms:created>
  <dcterms:modified xsi:type="dcterms:W3CDTF">2022-09-07T15:09:00Z</dcterms:modified>
</cp:coreProperties>
</file>