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4B7" w:rsidRDefault="001574B7" w:rsidP="001574B7"/>
    <w:p w:rsidR="001574B7" w:rsidRDefault="001574B7" w:rsidP="001574B7">
      <w:pPr>
        <w:tabs>
          <w:tab w:val="left" w:pos="1200"/>
        </w:tabs>
      </w:pPr>
      <w:r>
        <w:tab/>
      </w:r>
    </w:p>
    <w:p w:rsidR="001574B7" w:rsidRDefault="001574B7" w:rsidP="001574B7">
      <w:pPr>
        <w:tabs>
          <w:tab w:val="left" w:pos="1200"/>
        </w:tabs>
      </w:pPr>
    </w:p>
    <w:p w:rsidR="001574B7" w:rsidRDefault="001574B7" w:rsidP="001574B7">
      <w:pPr>
        <w:tabs>
          <w:tab w:val="left" w:pos="1200"/>
        </w:tabs>
      </w:pPr>
    </w:p>
    <w:p w:rsidR="007A3CAA" w:rsidRDefault="001574B7" w:rsidP="001574B7">
      <w:r>
        <w:rPr>
          <w:noProof/>
        </w:rPr>
        <w:drawing>
          <wp:anchor distT="0" distB="0" distL="114300" distR="114300" simplePos="0" relativeHeight="251658240" behindDoc="1" locked="0" layoutInCell="1" allowOverlap="1">
            <wp:simplePos x="0" y="0"/>
            <wp:positionH relativeFrom="column">
              <wp:posOffset>1514475</wp:posOffset>
            </wp:positionH>
            <wp:positionV relativeFrom="paragraph">
              <wp:posOffset>29210</wp:posOffset>
            </wp:positionV>
            <wp:extent cx="2758280" cy="26479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hawk log.png"/>
                    <pic:cNvPicPr/>
                  </pic:nvPicPr>
                  <pic:blipFill>
                    <a:blip r:embed="rId7">
                      <a:extLst>
                        <a:ext uri="{28A0092B-C50C-407E-A947-70E740481C1C}">
                          <a14:useLocalDpi xmlns:a14="http://schemas.microsoft.com/office/drawing/2010/main" val="0"/>
                        </a:ext>
                      </a:extLst>
                    </a:blip>
                    <a:stretch>
                      <a:fillRect/>
                    </a:stretch>
                  </pic:blipFill>
                  <pic:spPr>
                    <a:xfrm>
                      <a:off x="0" y="0"/>
                      <a:ext cx="2758280" cy="2647950"/>
                    </a:xfrm>
                    <a:prstGeom prst="rect">
                      <a:avLst/>
                    </a:prstGeom>
                  </pic:spPr>
                </pic:pic>
              </a:graphicData>
            </a:graphic>
          </wp:anchor>
        </w:drawing>
      </w:r>
      <w:r>
        <w:br w:type="textWrapping" w:clear="all"/>
      </w:r>
    </w:p>
    <w:p w:rsidR="001574B7" w:rsidRDefault="001574B7" w:rsidP="001574B7"/>
    <w:p w:rsidR="001574B7" w:rsidRDefault="001574B7" w:rsidP="001574B7"/>
    <w:p w:rsidR="001574B7" w:rsidRDefault="001574B7" w:rsidP="001574B7"/>
    <w:p w:rsidR="001574B7" w:rsidRDefault="001574B7" w:rsidP="001574B7"/>
    <w:p w:rsidR="001574B7" w:rsidRDefault="001574B7" w:rsidP="001574B7"/>
    <w:p w:rsidR="001574B7" w:rsidRDefault="001574B7" w:rsidP="001574B7"/>
    <w:p w:rsidR="001574B7" w:rsidRDefault="001574B7" w:rsidP="001574B7"/>
    <w:p w:rsidR="001574B7" w:rsidRDefault="001574B7" w:rsidP="001574B7"/>
    <w:p w:rsidR="001574B7" w:rsidRDefault="001574B7" w:rsidP="001574B7"/>
    <w:p w:rsidR="001574B7" w:rsidRPr="001574B7" w:rsidRDefault="001574B7" w:rsidP="001574B7">
      <w:pPr>
        <w:jc w:val="center"/>
        <w:rPr>
          <w:rFonts w:ascii="Garamond" w:hAnsi="Garamond"/>
          <w:sz w:val="52"/>
        </w:rPr>
      </w:pPr>
      <w:r w:rsidRPr="001574B7">
        <w:rPr>
          <w:rFonts w:ascii="Garamond" w:hAnsi="Garamond"/>
          <w:sz w:val="52"/>
        </w:rPr>
        <w:t>NOTES</w:t>
      </w:r>
    </w:p>
    <w:p w:rsidR="001574B7" w:rsidRDefault="001574B7" w:rsidP="001574B7">
      <w:pPr>
        <w:jc w:val="center"/>
        <w:rPr>
          <w:rFonts w:ascii="Garamond" w:hAnsi="Garamond"/>
          <w:sz w:val="52"/>
        </w:rPr>
      </w:pPr>
      <w:r w:rsidRPr="001574B7">
        <w:rPr>
          <w:rFonts w:ascii="Garamond" w:hAnsi="Garamond"/>
          <w:sz w:val="52"/>
        </w:rPr>
        <w:t>Criterion 1 and Criterion 2</w:t>
      </w:r>
    </w:p>
    <w:p w:rsidR="001574B7" w:rsidRDefault="001574B7">
      <w:pPr>
        <w:rPr>
          <w:rFonts w:ascii="Garamond" w:hAnsi="Garamond"/>
          <w:sz w:val="52"/>
        </w:rPr>
      </w:pPr>
      <w:r>
        <w:rPr>
          <w:rFonts w:ascii="Garamond" w:hAnsi="Garamond"/>
          <w:sz w:val="52"/>
        </w:rPr>
        <w:br w:type="page"/>
      </w:r>
    </w:p>
    <w:p w:rsidR="001574B7" w:rsidRPr="001574B7" w:rsidRDefault="001574B7" w:rsidP="001574B7">
      <w:pPr>
        <w:shd w:val="clear" w:color="auto" w:fill="FFFFFF"/>
        <w:spacing w:before="150" w:after="75" w:line="240" w:lineRule="auto"/>
        <w:contextualSpacing/>
        <w:outlineLvl w:val="3"/>
        <w:rPr>
          <w:rFonts w:ascii="Garamond" w:eastAsia="Times New Roman" w:hAnsi="Garamond" w:cs="Arial"/>
          <w:sz w:val="36"/>
          <w:szCs w:val="38"/>
        </w:rPr>
      </w:pPr>
      <w:r w:rsidRPr="001574B7">
        <w:rPr>
          <w:rFonts w:ascii="Garamond" w:eastAsia="Times New Roman" w:hAnsi="Garamond" w:cs="Arial"/>
          <w:sz w:val="36"/>
          <w:szCs w:val="38"/>
        </w:rPr>
        <w:lastRenderedPageBreak/>
        <w:t>Criterion 1. Mission</w:t>
      </w: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8"/>
          <w:szCs w:val="27"/>
        </w:rPr>
      </w:pPr>
      <w:r w:rsidRPr="001574B7">
        <w:rPr>
          <w:rFonts w:ascii="Garamond" w:eastAsia="Times New Roman" w:hAnsi="Garamond" w:cs="Arial"/>
          <w:color w:val="6A6C6D"/>
          <w:sz w:val="28"/>
          <w:szCs w:val="27"/>
        </w:rPr>
        <w:t>The institution’s mission is clear and articulated publicly; it guides the institution’s operations.</w:t>
      </w: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bookmarkStart w:id="0" w:name="_GoBack"/>
      <w:bookmarkEnd w:id="0"/>
    </w:p>
    <w:p w:rsidR="001574B7" w:rsidRDefault="001574B7" w:rsidP="001574B7">
      <w:pPr>
        <w:shd w:val="clear" w:color="auto" w:fill="FFFFFF"/>
        <w:spacing w:after="105" w:line="240" w:lineRule="auto"/>
        <w:contextualSpacing/>
        <w:outlineLvl w:val="4"/>
        <w:rPr>
          <w:rFonts w:ascii="Garamond" w:eastAsia="Times New Roman" w:hAnsi="Garamond" w:cs="Arial"/>
          <w:color w:val="333333"/>
          <w:sz w:val="28"/>
          <w:szCs w:val="30"/>
        </w:rPr>
      </w:pPr>
      <w:r w:rsidRPr="001574B7">
        <w:rPr>
          <w:rFonts w:ascii="Garamond" w:eastAsia="Times New Roman" w:hAnsi="Garamond" w:cs="Arial"/>
          <w:color w:val="333333"/>
          <w:sz w:val="28"/>
          <w:szCs w:val="30"/>
        </w:rPr>
        <w:t>Core Components</w:t>
      </w:r>
    </w:p>
    <w:p w:rsidR="001574B7" w:rsidRPr="001574B7" w:rsidRDefault="001574B7" w:rsidP="001574B7">
      <w:pPr>
        <w:shd w:val="clear" w:color="auto" w:fill="FFFFFF"/>
        <w:spacing w:after="105" w:line="240" w:lineRule="auto"/>
        <w:contextualSpacing/>
        <w:outlineLvl w:val="4"/>
        <w:rPr>
          <w:rFonts w:ascii="Garamond" w:eastAsia="Times New Roman" w:hAnsi="Garamond" w:cs="Arial"/>
          <w:color w:val="333333"/>
          <w:sz w:val="28"/>
          <w:szCs w:val="30"/>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t>1.A.</w:t>
      </w:r>
      <w:r w:rsidRPr="001574B7">
        <w:rPr>
          <w:rFonts w:ascii="Garamond" w:eastAsia="Times New Roman" w:hAnsi="Garamond" w:cs="Arial"/>
          <w:color w:val="6A6C6D"/>
          <w:sz w:val="24"/>
          <w:szCs w:val="27"/>
        </w:rPr>
        <w:t> The institution’s mission is articulated publicly and operationalized throughout the institution.</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mission was developed through a process suited to the context of the institution.</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mission and related statements are current and reference the institution’s emphasis on the various aspects of its mission, such as instruction, scholarship, research, application of research, creative works, clinical service, public service, economic development and religious or cultural purpose.</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mission and related statements identify the nature, scope and intended constituents of the higher education offerings and services the institution provides.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institution’s academic offerings, student support services and enrollment profile are consistent with its stated mission.</w:t>
      </w:r>
    </w:p>
    <w:p w:rsidR="001574B7" w:rsidRDefault="001574B7" w:rsidP="001574B7">
      <w:pPr>
        <w:numPr>
          <w:ilvl w:val="0"/>
          <w:numId w:val="1"/>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lastRenderedPageBreak/>
        <w:t>The institution clearly articulates its mission through public information, such as statements of purpose, vision, values, goals, plans or institutional priorities.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t>1.B.</w:t>
      </w:r>
      <w:r w:rsidRPr="001574B7">
        <w:rPr>
          <w:rFonts w:ascii="Garamond" w:eastAsia="Times New Roman" w:hAnsi="Garamond" w:cs="Arial"/>
          <w:color w:val="6A6C6D"/>
          <w:sz w:val="24"/>
          <w:szCs w:val="27"/>
        </w:rPr>
        <w:t> The institution’s mission demonstrates commitment to the public good.</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institution’s actions and decisions demonstrate that its educational role is to serve the public, not solely the institution or any superordinate entity.</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institution’s educational responsibilities take primacy over other purposes, such as generating financial returns for investors, contributing to a related or parent organization, or supporting external interests.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2"/>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engages with its external constituencies and responds to their needs as its mission and capacity allow.</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lastRenderedPageBreak/>
        <w:t>1.C.</w:t>
      </w:r>
      <w:r w:rsidRPr="001574B7">
        <w:rPr>
          <w:rFonts w:ascii="Garamond" w:eastAsia="Times New Roman" w:hAnsi="Garamond" w:cs="Arial"/>
          <w:color w:val="6A6C6D"/>
          <w:sz w:val="24"/>
          <w:szCs w:val="27"/>
        </w:rPr>
        <w:t> The institution provides opportunities for civic engagement in a diverse, multicultural society and globally connected world, as appropriate within its mission and for the constituencies it serves.</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encourages curricular or cocurricular activities that prepare students for informed citizenship and workplace success.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institution’s processes and activities demonstrate inclusive and equitable treatment of diverse populations.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3"/>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fosters a climate of respect among all students, faculty, staff and administrators from a range of diverse backgrounds, ideas and perspectives.</w:t>
      </w:r>
    </w:p>
    <w:p w:rsidR="001574B7" w:rsidRDefault="001574B7">
      <w:pPr>
        <w:rPr>
          <w:rFonts w:ascii="Garamond" w:eastAsia="Times New Roman" w:hAnsi="Garamond" w:cs="Arial"/>
          <w:color w:val="6A6C6D"/>
          <w:sz w:val="24"/>
          <w:szCs w:val="27"/>
        </w:rPr>
      </w:pPr>
      <w:r>
        <w:rPr>
          <w:rFonts w:ascii="Garamond" w:eastAsia="Times New Roman" w:hAnsi="Garamond" w:cs="Arial"/>
          <w:color w:val="6A6C6D"/>
          <w:sz w:val="24"/>
          <w:szCs w:val="27"/>
        </w:rPr>
        <w:br w:type="page"/>
      </w:r>
    </w:p>
    <w:p w:rsidR="001574B7" w:rsidRPr="001574B7" w:rsidRDefault="001574B7" w:rsidP="001574B7">
      <w:pPr>
        <w:shd w:val="clear" w:color="auto" w:fill="FFFFFF"/>
        <w:spacing w:before="150" w:after="75" w:line="240" w:lineRule="auto"/>
        <w:contextualSpacing/>
        <w:outlineLvl w:val="3"/>
        <w:rPr>
          <w:rFonts w:ascii="Garamond" w:eastAsia="Times New Roman" w:hAnsi="Garamond" w:cs="Arial"/>
          <w:sz w:val="36"/>
          <w:szCs w:val="38"/>
        </w:rPr>
      </w:pPr>
      <w:r w:rsidRPr="001574B7">
        <w:rPr>
          <w:rFonts w:ascii="Garamond" w:eastAsia="Times New Roman" w:hAnsi="Garamond" w:cs="Arial"/>
          <w:sz w:val="36"/>
          <w:szCs w:val="38"/>
        </w:rPr>
        <w:lastRenderedPageBreak/>
        <w:t>Criterion 2. Integrity: Ethical and Responsible Conduct</w:t>
      </w:r>
    </w:p>
    <w:p w:rsidR="001574B7" w:rsidRDefault="001574B7" w:rsidP="001574B7">
      <w:pPr>
        <w:shd w:val="clear" w:color="auto" w:fill="FFFFFF"/>
        <w:spacing w:after="0" w:line="240" w:lineRule="auto"/>
        <w:contextualSpacing/>
        <w:rPr>
          <w:rFonts w:ascii="Garamond" w:eastAsia="Times New Roman" w:hAnsi="Garamond" w:cs="Arial"/>
          <w:color w:val="6A6C6D"/>
          <w:sz w:val="28"/>
          <w:szCs w:val="27"/>
        </w:rPr>
      </w:pPr>
      <w:r w:rsidRPr="001574B7">
        <w:rPr>
          <w:rFonts w:ascii="Garamond" w:eastAsia="Times New Roman" w:hAnsi="Garamond" w:cs="Arial"/>
          <w:color w:val="6A6C6D"/>
          <w:sz w:val="28"/>
          <w:szCs w:val="27"/>
        </w:rPr>
        <w:t>The institution acts with integrity; its conduct is ethical and responsible.</w:t>
      </w: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8"/>
          <w:szCs w:val="27"/>
        </w:rPr>
      </w:pPr>
    </w:p>
    <w:p w:rsidR="001574B7" w:rsidRDefault="001574B7" w:rsidP="001574B7">
      <w:pPr>
        <w:shd w:val="clear" w:color="auto" w:fill="FFFFFF"/>
        <w:spacing w:after="105" w:line="240" w:lineRule="auto"/>
        <w:contextualSpacing/>
        <w:outlineLvl w:val="4"/>
        <w:rPr>
          <w:rFonts w:ascii="Garamond" w:eastAsia="Times New Roman" w:hAnsi="Garamond" w:cs="Arial"/>
          <w:color w:val="333333"/>
          <w:sz w:val="28"/>
          <w:szCs w:val="30"/>
        </w:rPr>
      </w:pPr>
      <w:r w:rsidRPr="001574B7">
        <w:rPr>
          <w:rFonts w:ascii="Garamond" w:eastAsia="Times New Roman" w:hAnsi="Garamond" w:cs="Arial"/>
          <w:color w:val="333333"/>
          <w:sz w:val="28"/>
          <w:szCs w:val="30"/>
        </w:rPr>
        <w:t>Core Components</w:t>
      </w:r>
    </w:p>
    <w:p w:rsidR="001574B7" w:rsidRPr="001574B7" w:rsidRDefault="001574B7" w:rsidP="001574B7">
      <w:pPr>
        <w:shd w:val="clear" w:color="auto" w:fill="FFFFFF"/>
        <w:spacing w:after="105" w:line="240" w:lineRule="auto"/>
        <w:contextualSpacing/>
        <w:outlineLvl w:val="4"/>
        <w:rPr>
          <w:rFonts w:ascii="Garamond" w:eastAsia="Times New Roman" w:hAnsi="Garamond" w:cs="Arial"/>
          <w:color w:val="333333"/>
          <w:sz w:val="28"/>
          <w:szCs w:val="30"/>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t>2.A.</w:t>
      </w:r>
      <w:r w:rsidRPr="001574B7">
        <w:rPr>
          <w:rFonts w:ascii="Garamond" w:eastAsia="Times New Roman" w:hAnsi="Garamond" w:cs="Arial"/>
          <w:color w:val="6A6C6D"/>
          <w:sz w:val="24"/>
          <w:szCs w:val="27"/>
        </w:rPr>
        <w:t> The institution establishes and follows policies and processes to ensure fair and ethical behavior on the part of its governing board, administration, faculty and staff.</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develops and the governing board adopts the mission.</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4"/>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operates with integrity in its financial, academic, human resources and auxiliary functions.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t>2.B.</w:t>
      </w:r>
      <w:r w:rsidRPr="001574B7">
        <w:rPr>
          <w:rFonts w:ascii="Garamond" w:eastAsia="Times New Roman" w:hAnsi="Garamond" w:cs="Arial"/>
          <w:color w:val="6A6C6D"/>
          <w:sz w:val="24"/>
          <w:szCs w:val="27"/>
        </w:rPr>
        <w:t> The institution presents itself clearly and completely to its students and to the public.</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numPr>
          <w:ilvl w:val="0"/>
          <w:numId w:val="5"/>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ensures the accuracy of any representations it makes regarding academic offerings, requirements, faculty and staff, costs to students, governance structure and accreditation relationships.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5"/>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lastRenderedPageBreak/>
        <w:t>The institution ensures evidence is available to support any claims it makes regarding its contributions to the educational experience through research, community engagement, experiential learning, religious or spiritual purpose and economic development.</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t>2.C.</w:t>
      </w:r>
      <w:r w:rsidRPr="001574B7">
        <w:rPr>
          <w:rFonts w:ascii="Garamond" w:eastAsia="Times New Roman" w:hAnsi="Garamond" w:cs="Arial"/>
          <w:color w:val="6A6C6D"/>
          <w:sz w:val="24"/>
          <w:szCs w:val="27"/>
        </w:rPr>
        <w:t> The governing board of the institution is autonomous to make decisions in the best interest of the institution in compliance with board policies and to ensure the institution’s integrity.</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numPr>
          <w:ilvl w:val="0"/>
          <w:numId w:val="6"/>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governing board is trained and knowledgeable so that it makes informed decisions with respect to the institution’s financial and academic policies and practices; the board meets its legal and fiduciary responsibilities.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6"/>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governing board’s deliberations reflect priorities to preserve and enhance the institution.</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6"/>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governing board reviews the reasonable and relevant interests of the institution’s internal and external constituencies during its decision-making deliberations.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6"/>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lastRenderedPageBreak/>
        <w:t>The governing board preserves its independence from undue influence on the part of donors, elected officials, ownership interests or other external parties.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6"/>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governing board delegates day-to-day management of the institution to the institution’s administration and expects the institution’s faculty to oversee academic matters.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t>2.D.</w:t>
      </w:r>
      <w:r w:rsidRPr="001574B7">
        <w:rPr>
          <w:rFonts w:ascii="Garamond" w:eastAsia="Times New Roman" w:hAnsi="Garamond" w:cs="Arial"/>
          <w:color w:val="6A6C6D"/>
          <w:sz w:val="24"/>
          <w:szCs w:val="27"/>
        </w:rPr>
        <w:t> The institution is committed to academic freedom and freedom of expression in the pursuit of truth in teaching and learning.</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r w:rsidRPr="001574B7">
        <w:rPr>
          <w:rFonts w:ascii="Garamond" w:eastAsia="Times New Roman" w:hAnsi="Garamond" w:cs="Arial"/>
          <w:b/>
          <w:bCs/>
          <w:color w:val="333333"/>
          <w:sz w:val="24"/>
          <w:szCs w:val="27"/>
        </w:rPr>
        <w:t>2.E.</w:t>
      </w:r>
      <w:r w:rsidRPr="001574B7">
        <w:rPr>
          <w:rFonts w:ascii="Garamond" w:eastAsia="Times New Roman" w:hAnsi="Garamond" w:cs="Arial"/>
          <w:color w:val="6A6C6D"/>
          <w:sz w:val="24"/>
          <w:szCs w:val="27"/>
        </w:rPr>
        <w:t> The institution’s policies and procedures call for responsible acquisition, discovery and application of knowledge by its faculty, staff and students.</w:t>
      </w: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after="0" w:line="240" w:lineRule="auto"/>
        <w:contextualSpacing/>
        <w:rPr>
          <w:rFonts w:ascii="Garamond" w:eastAsia="Times New Roman" w:hAnsi="Garamond" w:cs="Arial"/>
          <w:color w:val="6A6C6D"/>
          <w:sz w:val="24"/>
          <w:szCs w:val="27"/>
        </w:rPr>
      </w:pPr>
    </w:p>
    <w:p w:rsidR="001574B7" w:rsidRDefault="001574B7" w:rsidP="001574B7">
      <w:pPr>
        <w:numPr>
          <w:ilvl w:val="0"/>
          <w:numId w:val="7"/>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Institutions supporting basic and applied research maintain professional standards and provide oversight ensuring regulatory compliance, ethical behavior and fiscal accountability.</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7"/>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provides effective support services to ensure the integrity of research and scholarly practice conducted by its faculty, staff and students.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numPr>
          <w:ilvl w:val="0"/>
          <w:numId w:val="7"/>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lastRenderedPageBreak/>
        <w:t>The institution provides students guidance in the ethics of research and use of information resources.</w:t>
      </w: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shd w:val="clear" w:color="auto" w:fill="FFFFFF"/>
        <w:spacing w:before="100" w:beforeAutospacing="1" w:after="100" w:afterAutospacing="1" w:line="240" w:lineRule="auto"/>
        <w:contextualSpacing/>
        <w:rPr>
          <w:rFonts w:ascii="Garamond" w:eastAsia="Times New Roman" w:hAnsi="Garamond" w:cs="Arial"/>
          <w:color w:val="6A6C6D"/>
          <w:sz w:val="24"/>
          <w:szCs w:val="27"/>
        </w:rPr>
      </w:pPr>
    </w:p>
    <w:p w:rsidR="001574B7" w:rsidRPr="001574B7" w:rsidRDefault="001574B7" w:rsidP="001574B7">
      <w:pPr>
        <w:numPr>
          <w:ilvl w:val="0"/>
          <w:numId w:val="7"/>
        </w:num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r w:rsidRPr="001574B7">
        <w:rPr>
          <w:rFonts w:ascii="Garamond" w:eastAsia="Times New Roman" w:hAnsi="Garamond" w:cs="Arial"/>
          <w:color w:val="6A6C6D"/>
          <w:sz w:val="24"/>
          <w:szCs w:val="27"/>
        </w:rPr>
        <w:t>The institution enforces policies on academic honesty and integrity.</w:t>
      </w:r>
    </w:p>
    <w:p w:rsidR="001574B7" w:rsidRPr="001574B7" w:rsidRDefault="001574B7" w:rsidP="001574B7">
      <w:pPr>
        <w:shd w:val="clear" w:color="auto" w:fill="FFFFFF"/>
        <w:spacing w:before="100" w:beforeAutospacing="1" w:after="100" w:afterAutospacing="1" w:line="240" w:lineRule="auto"/>
        <w:ind w:left="750"/>
        <w:contextualSpacing/>
        <w:rPr>
          <w:rFonts w:ascii="Garamond" w:eastAsia="Times New Roman" w:hAnsi="Garamond" w:cs="Arial"/>
          <w:color w:val="6A6C6D"/>
          <w:sz w:val="24"/>
          <w:szCs w:val="27"/>
        </w:rPr>
      </w:pPr>
    </w:p>
    <w:p w:rsidR="001574B7" w:rsidRPr="001574B7" w:rsidRDefault="001574B7" w:rsidP="001574B7">
      <w:pPr>
        <w:jc w:val="center"/>
        <w:rPr>
          <w:rFonts w:ascii="Garamond" w:hAnsi="Garamond"/>
          <w:sz w:val="24"/>
          <w:szCs w:val="24"/>
        </w:rPr>
      </w:pPr>
    </w:p>
    <w:sectPr w:rsidR="001574B7" w:rsidRPr="001574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5D6" w:rsidRDefault="00B425D6" w:rsidP="001574B7">
      <w:pPr>
        <w:spacing w:after="0" w:line="240" w:lineRule="auto"/>
      </w:pPr>
      <w:r>
        <w:separator/>
      </w:r>
    </w:p>
  </w:endnote>
  <w:endnote w:type="continuationSeparator" w:id="0">
    <w:p w:rsidR="00B425D6" w:rsidRDefault="00B425D6" w:rsidP="0015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405612"/>
      <w:docPartObj>
        <w:docPartGallery w:val="Page Numbers (Bottom of Page)"/>
        <w:docPartUnique/>
      </w:docPartObj>
    </w:sdtPr>
    <w:sdtEndPr>
      <w:rPr>
        <w:noProof/>
      </w:rPr>
    </w:sdtEndPr>
    <w:sdtContent>
      <w:p w:rsidR="001574B7" w:rsidRDefault="001574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574B7" w:rsidRDefault="00157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5D6" w:rsidRDefault="00B425D6" w:rsidP="001574B7">
      <w:pPr>
        <w:spacing w:after="0" w:line="240" w:lineRule="auto"/>
      </w:pPr>
      <w:r>
        <w:separator/>
      </w:r>
    </w:p>
  </w:footnote>
  <w:footnote w:type="continuationSeparator" w:id="0">
    <w:p w:rsidR="00B425D6" w:rsidRDefault="00B425D6" w:rsidP="00157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A55"/>
    <w:multiLevelType w:val="multilevel"/>
    <w:tmpl w:val="C0E2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95EA3"/>
    <w:multiLevelType w:val="multilevel"/>
    <w:tmpl w:val="DBE81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41B1E"/>
    <w:multiLevelType w:val="multilevel"/>
    <w:tmpl w:val="0816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7035ED"/>
    <w:multiLevelType w:val="multilevel"/>
    <w:tmpl w:val="261C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E57AC"/>
    <w:multiLevelType w:val="multilevel"/>
    <w:tmpl w:val="30AE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BC06BD"/>
    <w:multiLevelType w:val="multilevel"/>
    <w:tmpl w:val="81BC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046997"/>
    <w:multiLevelType w:val="multilevel"/>
    <w:tmpl w:val="4ADA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B7"/>
    <w:rsid w:val="00087DA7"/>
    <w:rsid w:val="001574B7"/>
    <w:rsid w:val="007A3CAA"/>
    <w:rsid w:val="00B4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AAC1C"/>
  <w15:chartTrackingRefBased/>
  <w15:docId w15:val="{0B155C07-30E1-46B4-80EC-82C07717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574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574B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74B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574B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574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74B7"/>
    <w:rPr>
      <w:b/>
      <w:bCs/>
    </w:rPr>
  </w:style>
  <w:style w:type="paragraph" w:styleId="Header">
    <w:name w:val="header"/>
    <w:basedOn w:val="Normal"/>
    <w:link w:val="HeaderChar"/>
    <w:uiPriority w:val="99"/>
    <w:unhideWhenUsed/>
    <w:rsid w:val="0015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B7"/>
  </w:style>
  <w:style w:type="paragraph" w:styleId="Footer">
    <w:name w:val="footer"/>
    <w:basedOn w:val="Normal"/>
    <w:link w:val="FooterChar"/>
    <w:uiPriority w:val="99"/>
    <w:unhideWhenUsed/>
    <w:rsid w:val="0015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B7"/>
  </w:style>
  <w:style w:type="paragraph" w:styleId="BalloonText">
    <w:name w:val="Balloon Text"/>
    <w:basedOn w:val="Normal"/>
    <w:link w:val="BalloonTextChar"/>
    <w:uiPriority w:val="99"/>
    <w:semiHidden/>
    <w:unhideWhenUsed/>
    <w:rsid w:val="00157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620667">
      <w:bodyDiv w:val="1"/>
      <w:marLeft w:val="0"/>
      <w:marRight w:val="0"/>
      <w:marTop w:val="0"/>
      <w:marBottom w:val="0"/>
      <w:divBdr>
        <w:top w:val="none" w:sz="0" w:space="0" w:color="auto"/>
        <w:left w:val="none" w:sz="0" w:space="0" w:color="auto"/>
        <w:bottom w:val="none" w:sz="0" w:space="0" w:color="auto"/>
        <w:right w:val="none" w:sz="0" w:space="0" w:color="auto"/>
      </w:divBdr>
    </w:div>
    <w:div w:id="70506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Black River Technical College</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Gray</dc:creator>
  <cp:keywords/>
  <dc:description/>
  <cp:lastModifiedBy>Sissy Gray</cp:lastModifiedBy>
  <cp:revision>1</cp:revision>
  <cp:lastPrinted>2022-09-01T16:43:00Z</cp:lastPrinted>
  <dcterms:created xsi:type="dcterms:W3CDTF">2022-09-01T16:35:00Z</dcterms:created>
  <dcterms:modified xsi:type="dcterms:W3CDTF">2022-09-01T18:16:00Z</dcterms:modified>
</cp:coreProperties>
</file>